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812C" w14:textId="247BC4AB" w:rsidR="00E1500E" w:rsidRPr="00E1500E" w:rsidRDefault="00E1500E" w:rsidP="005916FE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66"/>
          <w:szCs w:val="66"/>
        </w:rPr>
      </w:pPr>
      <w:r w:rsidRPr="00E1500E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66"/>
          <w:szCs w:val="66"/>
        </w:rPr>
        <w:t xml:space="preserve">Colorado Northeast Region </w:t>
      </w: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66"/>
          <w:szCs w:val="66"/>
        </w:rPr>
        <w:t>Healthcare Coalition (NERHCC)</w:t>
      </w:r>
    </w:p>
    <w:p w14:paraId="3506E20B" w14:textId="6CEE364A" w:rsidR="006746F8" w:rsidRPr="00E1500E" w:rsidRDefault="00157F48" w:rsidP="005916FE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66"/>
          <w:szCs w:val="66"/>
        </w:rPr>
      </w:pPr>
      <w:r w:rsidRPr="00E1500E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66"/>
          <w:szCs w:val="66"/>
        </w:rPr>
        <w:t>20</w:t>
      </w:r>
      <w:r w:rsidR="005916FE" w:rsidRPr="00E1500E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66"/>
          <w:szCs w:val="66"/>
        </w:rPr>
        <w:t>20 COVID-19 Response</w:t>
      </w:r>
    </w:p>
    <w:p w14:paraId="693F32EC" w14:textId="47EC827D" w:rsidR="006746F8" w:rsidRDefault="00F466AA" w:rsidP="00C52281">
      <w:pPr>
        <w:pStyle w:val="Subtitle"/>
      </w:pPr>
      <w:r w:rsidRPr="00B51EF7">
        <w:t>After-Action Report</w:t>
      </w:r>
    </w:p>
    <w:p w14:paraId="12F91BE8" w14:textId="3BD9F5DA" w:rsidR="00D532AC" w:rsidRDefault="00673616" w:rsidP="00E1500E">
      <w:r>
        <w:rPr>
          <w:rFonts w:ascii="Arial" w:eastAsiaTheme="majorEastAsia" w:hAnsi="Arial"/>
          <w:iCs/>
          <w:color w:val="404040" w:themeColor="text1" w:themeTint="BF"/>
          <w:spacing w:val="15"/>
          <w:sz w:val="36"/>
          <w:szCs w:val="36"/>
        </w:rPr>
        <w:t>March 10, 2020</w:t>
      </w:r>
      <w:r w:rsidR="00E1500E">
        <w:rPr>
          <w:rFonts w:ascii="Arial" w:eastAsiaTheme="majorEastAsia" w:hAnsi="Arial"/>
          <w:iCs/>
          <w:color w:val="404040" w:themeColor="text1" w:themeTint="BF"/>
          <w:spacing w:val="15"/>
          <w:sz w:val="36"/>
          <w:szCs w:val="36"/>
        </w:rPr>
        <w:t xml:space="preserve"> – May 30, 2020</w:t>
      </w:r>
    </w:p>
    <w:p w14:paraId="7A1BB7B5" w14:textId="18338DA3" w:rsidR="00D532AC" w:rsidRDefault="00D532AC" w:rsidP="006D23CB">
      <w:pPr>
        <w:pStyle w:val="CoverPageSummary"/>
        <w:jc w:val="center"/>
      </w:pPr>
    </w:p>
    <w:p w14:paraId="49FD949E" w14:textId="0CCD57D2" w:rsidR="00D532AC" w:rsidRDefault="0033400A" w:rsidP="006D23CB">
      <w:pPr>
        <w:pStyle w:val="CoverPageSummary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8C0DA" wp14:editId="47D67FFA">
            <wp:simplePos x="0" y="0"/>
            <wp:positionH relativeFrom="column">
              <wp:posOffset>1539587</wp:posOffset>
            </wp:positionH>
            <wp:positionV relativeFrom="paragraph">
              <wp:posOffset>21631</wp:posOffset>
            </wp:positionV>
            <wp:extent cx="2820824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2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56BBA" w14:textId="54769805" w:rsidR="00D532AC" w:rsidRDefault="00D532AC" w:rsidP="006D23CB">
      <w:pPr>
        <w:pStyle w:val="CoverPageSummary"/>
        <w:jc w:val="center"/>
      </w:pPr>
    </w:p>
    <w:p w14:paraId="61A0E7E6" w14:textId="112B370F" w:rsidR="00D532AC" w:rsidRDefault="00D532AC" w:rsidP="006D23CB">
      <w:pPr>
        <w:pStyle w:val="CoverPageSummary"/>
        <w:jc w:val="center"/>
      </w:pPr>
    </w:p>
    <w:p w14:paraId="514605E8" w14:textId="032FF62D" w:rsidR="00D532AC" w:rsidRDefault="00D532AC" w:rsidP="006D23CB">
      <w:pPr>
        <w:pStyle w:val="CoverPageSummary"/>
        <w:jc w:val="center"/>
      </w:pPr>
    </w:p>
    <w:p w14:paraId="42273337" w14:textId="645BCF18" w:rsidR="006746F8" w:rsidRPr="00B51EF7" w:rsidRDefault="00920469" w:rsidP="006D23CB">
      <w:pPr>
        <w:pStyle w:val="CoverPageSummary"/>
        <w:jc w:val="center"/>
        <w:sectPr w:rsidR="006746F8" w:rsidRPr="00B51EF7" w:rsidSect="00A40C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>
        <w:t>T</w:t>
      </w:r>
      <w:r w:rsidR="00C94D26" w:rsidRPr="00B51EF7">
        <w:t xml:space="preserve">he </w:t>
      </w:r>
      <w:r w:rsidR="003A0595">
        <w:t>After-Action Report (</w:t>
      </w:r>
      <w:r w:rsidR="00C94D26" w:rsidRPr="00B51EF7">
        <w:t>AAR</w:t>
      </w:r>
      <w:r w:rsidR="003A0595">
        <w:t>)</w:t>
      </w:r>
      <w:r w:rsidR="00C94D26" w:rsidRPr="00B51EF7">
        <w:t xml:space="preserve"> aligns</w:t>
      </w:r>
      <w:r w:rsidR="00F26D08">
        <w:t xml:space="preserve"> </w:t>
      </w:r>
      <w:r w:rsidR="00D532AC">
        <w:t>lessons learned</w:t>
      </w:r>
      <w:r w:rsidR="00C94D26" w:rsidRPr="00B51EF7">
        <w:t xml:space="preserve"> </w:t>
      </w:r>
      <w:r w:rsidR="00E1500E">
        <w:t xml:space="preserve">from the COVID-19 </w:t>
      </w:r>
      <w:r w:rsidR="00F4096E">
        <w:t xml:space="preserve">response </w:t>
      </w:r>
      <w:r w:rsidR="000152D3">
        <w:t>for the Northeast Region Healthcare Coalition</w:t>
      </w:r>
      <w:r w:rsidR="00F4096E">
        <w:t xml:space="preserve"> in Colorado</w:t>
      </w:r>
      <w:r w:rsidR="00E1500E">
        <w:t xml:space="preserve"> </w:t>
      </w:r>
      <w:r w:rsidR="00C94D26" w:rsidRPr="00B51EF7">
        <w:t>with</w:t>
      </w:r>
      <w:r w:rsidR="00654BD7">
        <w:t xml:space="preserve"> the</w:t>
      </w:r>
      <w:r w:rsidR="00D16D6F">
        <w:t xml:space="preserve"> </w:t>
      </w:r>
      <w:r w:rsidR="00D16D6F" w:rsidRPr="00D16D6F">
        <w:rPr>
          <w:i/>
          <w:iCs/>
        </w:rPr>
        <w:t>2017-2022 Health Care Preparedness and Response Capabilities</w:t>
      </w:r>
      <w:r w:rsidR="00E1500E">
        <w:t xml:space="preserve"> </w:t>
      </w:r>
      <w:r w:rsidR="00D16D6F">
        <w:t xml:space="preserve">from the Office of the Assistant </w:t>
      </w:r>
      <w:r w:rsidR="00774B60">
        <w:t>Secretary</w:t>
      </w:r>
      <w:r w:rsidR="008C4CBD">
        <w:t xml:space="preserve"> for Preparedness and </w:t>
      </w:r>
      <w:r w:rsidR="00774B60">
        <w:t>Response</w:t>
      </w:r>
      <w:r w:rsidR="008C4CBD">
        <w:t xml:space="preserve"> (ASPR) in the Department of Health and Human Services (DHHS) and p</w:t>
      </w:r>
      <w:r w:rsidR="00C94D26" w:rsidRPr="008C4CBD">
        <w:t xml:space="preserve">reparedness </w:t>
      </w:r>
      <w:r w:rsidR="008C4CBD">
        <w:t>d</w:t>
      </w:r>
      <w:r w:rsidR="00C94D26" w:rsidRPr="008C4CBD">
        <w:t xml:space="preserve">octrine </w:t>
      </w:r>
      <w:r w:rsidR="00C94D26" w:rsidRPr="00B51EF7">
        <w:t xml:space="preserve">to include the </w:t>
      </w:r>
      <w:r w:rsidR="00C94D26" w:rsidRPr="008C4CBD">
        <w:rPr>
          <w:i/>
          <w:iCs/>
        </w:rPr>
        <w:t xml:space="preserve">National Preparedness Goal </w:t>
      </w:r>
      <w:r w:rsidR="00C94D26" w:rsidRPr="00B51EF7">
        <w:t>and related frameworks</w:t>
      </w:r>
      <w:r w:rsidR="00654BD7">
        <w:t xml:space="preserve"> /</w:t>
      </w:r>
      <w:r w:rsidR="00C94D26" w:rsidRPr="00B51EF7">
        <w:t xml:space="preserve"> guidance</w:t>
      </w:r>
      <w:r w:rsidR="008C4CBD">
        <w:t xml:space="preserve"> from the Federal Emergency Management Agency (FEMA)</w:t>
      </w:r>
      <w:r w:rsidR="00C94D26" w:rsidRPr="00B51EF7">
        <w:t xml:space="preserve">.  </w:t>
      </w:r>
    </w:p>
    <w:p w14:paraId="71E63B8C" w14:textId="140D76AC" w:rsidR="00F9310A" w:rsidRPr="00B51EF7" w:rsidRDefault="00F9310A" w:rsidP="00F9310A">
      <w:pPr>
        <w:pStyle w:val="Heading1"/>
        <w:spacing w:after="240"/>
        <w:rPr>
          <w:rFonts w:ascii="Arial" w:hAnsi="Arial"/>
        </w:rPr>
      </w:pPr>
      <w:bookmarkStart w:id="0" w:name="_Toc41518577"/>
      <w:bookmarkStart w:id="1" w:name="_Toc43662138"/>
      <w:r>
        <w:rPr>
          <w:rFonts w:ascii="Arial" w:hAnsi="Arial"/>
        </w:rPr>
        <w:lastRenderedPageBreak/>
        <w:t>Contents</w:t>
      </w:r>
      <w:bookmarkEnd w:id="0"/>
      <w:bookmarkEnd w:id="1"/>
    </w:p>
    <w:p w14:paraId="7D2AEAF6" w14:textId="4DD54E7B" w:rsidR="0084611B" w:rsidRDefault="003177D2">
      <w:pPr>
        <w:pStyle w:val="TOC1"/>
        <w:tabs>
          <w:tab w:val="right" w:leader="dot" w:pos="9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3B0391">
        <w:rPr>
          <w:b w:val="0"/>
          <w:bCs w:val="0"/>
          <w:sz w:val="24"/>
          <w:szCs w:val="24"/>
        </w:rPr>
        <w:fldChar w:fldCharType="begin"/>
      </w:r>
      <w:r w:rsidRPr="003B0391">
        <w:rPr>
          <w:b w:val="0"/>
          <w:bCs w:val="0"/>
          <w:sz w:val="24"/>
          <w:szCs w:val="24"/>
        </w:rPr>
        <w:instrText xml:space="preserve"> TOC \o "1-2" \h \z \u </w:instrText>
      </w:r>
      <w:r w:rsidRPr="003B0391">
        <w:rPr>
          <w:b w:val="0"/>
          <w:bCs w:val="0"/>
          <w:sz w:val="24"/>
          <w:szCs w:val="24"/>
        </w:rPr>
        <w:fldChar w:fldCharType="separate"/>
      </w:r>
      <w:hyperlink w:anchor="_Toc43662138" w:history="1">
        <w:r w:rsidR="0084611B" w:rsidRPr="00C50957">
          <w:rPr>
            <w:rStyle w:val="Hyperlink"/>
            <w:rFonts w:ascii="Arial" w:hAnsi="Arial"/>
            <w:noProof/>
          </w:rPr>
          <w:t>Contents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_Toc43662138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1</w:t>
        </w:r>
        <w:r w:rsidR="0084611B">
          <w:rPr>
            <w:noProof/>
            <w:webHidden/>
          </w:rPr>
          <w:fldChar w:fldCharType="end"/>
        </w:r>
      </w:hyperlink>
    </w:p>
    <w:p w14:paraId="7284D72D" w14:textId="2411F0F4" w:rsidR="0084611B" w:rsidRDefault="00A866D4">
      <w:pPr>
        <w:pStyle w:val="TOC1"/>
        <w:tabs>
          <w:tab w:val="right" w:leader="dot" w:pos="9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662139" w:history="1">
        <w:r w:rsidR="0084611B" w:rsidRPr="00C50957">
          <w:rPr>
            <w:rStyle w:val="Hyperlink"/>
            <w:rFonts w:ascii="Arial" w:hAnsi="Arial"/>
            <w:noProof/>
          </w:rPr>
          <w:t>Executive Overview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_Toc43662139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2</w:t>
        </w:r>
        <w:r w:rsidR="0084611B">
          <w:rPr>
            <w:noProof/>
            <w:webHidden/>
          </w:rPr>
          <w:fldChar w:fldCharType="end"/>
        </w:r>
      </w:hyperlink>
    </w:p>
    <w:p w14:paraId="6D3FC445" w14:textId="110D7F32" w:rsidR="0084611B" w:rsidRDefault="00A866D4">
      <w:pPr>
        <w:pStyle w:val="TOC1"/>
        <w:tabs>
          <w:tab w:val="right" w:leader="dot" w:pos="9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662140" w:history="1">
        <w:r w:rsidR="0084611B" w:rsidRPr="00C50957">
          <w:rPr>
            <w:rStyle w:val="Hyperlink"/>
            <w:noProof/>
          </w:rPr>
          <w:t>Analysis of Strengths &amp; Lessons Learned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_Toc43662140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3</w:t>
        </w:r>
        <w:r w:rsidR="0084611B">
          <w:rPr>
            <w:noProof/>
            <w:webHidden/>
          </w:rPr>
          <w:fldChar w:fldCharType="end"/>
        </w:r>
      </w:hyperlink>
    </w:p>
    <w:p w14:paraId="42596CB3" w14:textId="7863E2F6" w:rsidR="0084611B" w:rsidRDefault="00A866D4">
      <w:pPr>
        <w:pStyle w:val="TOC2"/>
        <w:tabs>
          <w:tab w:val="right" w:leader="dot" w:pos="9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662141" w:history="1">
        <w:r w:rsidR="0084611B" w:rsidRPr="00C50957">
          <w:rPr>
            <w:rStyle w:val="Hyperlink"/>
            <w:noProof/>
          </w:rPr>
          <w:t>Capability 1 – Foundation for Health Care and Medical Readiness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_Toc43662141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3</w:t>
        </w:r>
        <w:r w:rsidR="0084611B">
          <w:rPr>
            <w:noProof/>
            <w:webHidden/>
          </w:rPr>
          <w:fldChar w:fldCharType="end"/>
        </w:r>
      </w:hyperlink>
    </w:p>
    <w:p w14:paraId="7BABDC93" w14:textId="1379BA9B" w:rsidR="0084611B" w:rsidRDefault="00A866D4">
      <w:pPr>
        <w:pStyle w:val="TOC2"/>
        <w:tabs>
          <w:tab w:val="right" w:leader="dot" w:pos="9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662142" w:history="1">
        <w:r w:rsidR="0084611B" w:rsidRPr="00C50957">
          <w:rPr>
            <w:rStyle w:val="Hyperlink"/>
            <w:noProof/>
          </w:rPr>
          <w:t>Capability 2 - Health Care and Medical Response Coordination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_Toc43662142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4</w:t>
        </w:r>
        <w:r w:rsidR="0084611B">
          <w:rPr>
            <w:noProof/>
            <w:webHidden/>
          </w:rPr>
          <w:fldChar w:fldCharType="end"/>
        </w:r>
      </w:hyperlink>
    </w:p>
    <w:p w14:paraId="0B39F389" w14:textId="02FE70D8" w:rsidR="0084611B" w:rsidRDefault="00A866D4">
      <w:pPr>
        <w:pStyle w:val="TOC2"/>
        <w:tabs>
          <w:tab w:val="right" w:leader="dot" w:pos="9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662143" w:history="1">
        <w:r w:rsidR="0084611B" w:rsidRPr="00C50957">
          <w:rPr>
            <w:rStyle w:val="Hyperlink"/>
            <w:noProof/>
          </w:rPr>
          <w:t>Capability 3 - Continuity of Health Care Service Delivery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_Toc43662143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7</w:t>
        </w:r>
        <w:r w:rsidR="0084611B">
          <w:rPr>
            <w:noProof/>
            <w:webHidden/>
          </w:rPr>
          <w:fldChar w:fldCharType="end"/>
        </w:r>
      </w:hyperlink>
    </w:p>
    <w:p w14:paraId="49407342" w14:textId="6452E383" w:rsidR="0084611B" w:rsidRDefault="00A866D4">
      <w:pPr>
        <w:pStyle w:val="TOC2"/>
        <w:tabs>
          <w:tab w:val="right" w:leader="dot" w:pos="9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662144" w:history="1">
        <w:r w:rsidR="0084611B" w:rsidRPr="00C50957">
          <w:rPr>
            <w:rStyle w:val="Hyperlink"/>
            <w:noProof/>
          </w:rPr>
          <w:t>Capability 4 - Medical Surge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_Toc43662144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10</w:t>
        </w:r>
        <w:r w:rsidR="0084611B">
          <w:rPr>
            <w:noProof/>
            <w:webHidden/>
          </w:rPr>
          <w:fldChar w:fldCharType="end"/>
        </w:r>
      </w:hyperlink>
    </w:p>
    <w:p w14:paraId="4892966C" w14:textId="784D0892" w:rsidR="0084611B" w:rsidRDefault="00A866D4">
      <w:pPr>
        <w:pStyle w:val="TOC1"/>
        <w:tabs>
          <w:tab w:val="right" w:leader="dot" w:pos="9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662145" w:history="1">
        <w:r w:rsidR="0084611B" w:rsidRPr="00C50957">
          <w:rPr>
            <w:rStyle w:val="Hyperlink"/>
            <w:noProof/>
          </w:rPr>
          <w:t>Appendix A:  Participating Agencies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_Toc43662145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12</w:t>
        </w:r>
        <w:r w:rsidR="0084611B">
          <w:rPr>
            <w:noProof/>
            <w:webHidden/>
          </w:rPr>
          <w:fldChar w:fldCharType="end"/>
        </w:r>
      </w:hyperlink>
    </w:p>
    <w:p w14:paraId="3AA19935" w14:textId="11922C9D" w:rsidR="0084611B" w:rsidRDefault="00A866D4">
      <w:pPr>
        <w:pStyle w:val="TOC1"/>
        <w:tabs>
          <w:tab w:val="right" w:leader="dot" w:pos="9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662146" w:history="1">
        <w:r w:rsidR="0084611B" w:rsidRPr="00C50957">
          <w:rPr>
            <w:rStyle w:val="Hyperlink"/>
            <w:noProof/>
          </w:rPr>
          <w:t>Appendix B:  Acronyms</w:t>
        </w:r>
        <w:r w:rsidR="0084611B">
          <w:rPr>
            <w:noProof/>
            <w:webHidden/>
          </w:rPr>
          <w:tab/>
        </w:r>
        <w:r w:rsidR="0084611B">
          <w:rPr>
            <w:noProof/>
            <w:webHidden/>
          </w:rPr>
          <w:fldChar w:fldCharType="begin"/>
        </w:r>
        <w:r w:rsidR="0084611B">
          <w:rPr>
            <w:noProof/>
            <w:webHidden/>
          </w:rPr>
          <w:instrText xml:space="preserve"> PAGEREF _Toc43662146 \h </w:instrText>
        </w:r>
        <w:r w:rsidR="0084611B">
          <w:rPr>
            <w:noProof/>
            <w:webHidden/>
          </w:rPr>
        </w:r>
        <w:r w:rsidR="0084611B">
          <w:rPr>
            <w:noProof/>
            <w:webHidden/>
          </w:rPr>
          <w:fldChar w:fldCharType="separate"/>
        </w:r>
        <w:r w:rsidR="0084611B">
          <w:rPr>
            <w:noProof/>
            <w:webHidden/>
          </w:rPr>
          <w:t>13</w:t>
        </w:r>
        <w:r w:rsidR="0084611B">
          <w:rPr>
            <w:noProof/>
            <w:webHidden/>
          </w:rPr>
          <w:fldChar w:fldCharType="end"/>
        </w:r>
      </w:hyperlink>
    </w:p>
    <w:p w14:paraId="34E5B69F" w14:textId="647F5647" w:rsidR="00E1500E" w:rsidRPr="008A7CA9" w:rsidRDefault="003177D2" w:rsidP="003B0391">
      <w:pPr>
        <w:pStyle w:val="Heading1"/>
        <w:spacing w:before="40" w:after="4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  <w:sectPr w:rsidR="00E1500E" w:rsidRPr="008A7CA9" w:rsidSect="009E4E24">
          <w:headerReference w:type="default" r:id="rId18"/>
          <w:footerReference w:type="default" r:id="rId19"/>
          <w:pgSz w:w="12240" w:h="15840" w:code="1"/>
          <w:pgMar w:top="1008" w:right="1152" w:bottom="1008" w:left="1152" w:header="432" w:footer="432" w:gutter="0"/>
          <w:pgNumType w:start="1"/>
          <w:cols w:space="720"/>
          <w:docGrid w:linePitch="360"/>
        </w:sectPr>
      </w:pPr>
      <w:r w:rsidRPr="003B0391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</w:p>
    <w:p w14:paraId="682EC4D1" w14:textId="77777777" w:rsidR="009F5AE9" w:rsidRDefault="009F5AE9" w:rsidP="00E1500E">
      <w:pPr>
        <w:pStyle w:val="Heading1"/>
        <w:spacing w:after="240"/>
        <w:rPr>
          <w:rFonts w:ascii="Arial" w:hAnsi="Arial"/>
        </w:rPr>
        <w:sectPr w:rsidR="009F5AE9" w:rsidSect="00E1500E">
          <w:type w:val="continuous"/>
          <w:pgSz w:w="12240" w:h="15840" w:code="1"/>
          <w:pgMar w:top="1008" w:right="1152" w:bottom="1008" w:left="1152" w:header="432" w:footer="432" w:gutter="0"/>
          <w:pgNumType w:start="1"/>
          <w:cols w:space="720"/>
          <w:docGrid w:linePitch="360"/>
        </w:sectPr>
      </w:pPr>
    </w:p>
    <w:p w14:paraId="2D5BD04D" w14:textId="77777777" w:rsidR="00796AE9" w:rsidRDefault="00796AE9" w:rsidP="00796AE9">
      <w:pPr>
        <w:pStyle w:val="Heading1"/>
        <w:tabs>
          <w:tab w:val="left" w:pos="4552"/>
          <w:tab w:val="center" w:pos="4968"/>
        </w:tabs>
        <w:spacing w:after="240"/>
        <w:rPr>
          <w:rFonts w:ascii="Arial" w:hAnsi="Arial"/>
        </w:rPr>
        <w:sectPr w:rsidR="00796AE9" w:rsidSect="00E1500E">
          <w:type w:val="continuous"/>
          <w:pgSz w:w="12240" w:h="15840" w:code="1"/>
          <w:pgMar w:top="1008" w:right="1152" w:bottom="1008" w:left="1152" w:header="432" w:footer="432" w:gutter="0"/>
          <w:pgNumType w:start="1"/>
          <w:cols w:space="720"/>
          <w:docGrid w:linePitch="360"/>
        </w:sectPr>
      </w:pPr>
    </w:p>
    <w:p w14:paraId="74E489C3" w14:textId="114209EC" w:rsidR="006746F8" w:rsidRPr="00B51EF7" w:rsidRDefault="00796AE9" w:rsidP="00796AE9">
      <w:pPr>
        <w:pStyle w:val="Heading1"/>
        <w:tabs>
          <w:tab w:val="left" w:pos="4552"/>
          <w:tab w:val="center" w:pos="4968"/>
        </w:tabs>
        <w:spacing w:after="240"/>
        <w:rPr>
          <w:rFonts w:ascii="Arial" w:hAnsi="Arial"/>
        </w:rPr>
      </w:pPr>
      <w:bookmarkStart w:id="2" w:name="_Toc43662139"/>
      <w:r>
        <w:rPr>
          <w:rFonts w:ascii="Arial" w:hAnsi="Arial"/>
        </w:rPr>
        <w:lastRenderedPageBreak/>
        <w:t>Executive</w:t>
      </w:r>
      <w:r w:rsidR="006746F8" w:rsidRPr="00ED6193">
        <w:rPr>
          <w:rFonts w:ascii="Arial" w:hAnsi="Arial"/>
        </w:rPr>
        <w:t xml:space="preserve"> Overview</w:t>
      </w:r>
      <w:bookmarkEnd w:id="2"/>
    </w:p>
    <w:tbl>
      <w:tblPr>
        <w:tblStyle w:val="TableGrid"/>
        <w:tblW w:w="10350" w:type="dxa"/>
        <w:tblInd w:w="-40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8190"/>
      </w:tblGrid>
      <w:tr w:rsidR="00AC00A4" w:rsidRPr="001D6096" w14:paraId="5B0D3CAB" w14:textId="77777777" w:rsidTr="00432C54">
        <w:trPr>
          <w:trHeight w:val="360"/>
        </w:trPr>
        <w:tc>
          <w:tcPr>
            <w:tcW w:w="2160" w:type="dxa"/>
            <w:shd w:val="clear" w:color="auto" w:fill="000080"/>
            <w:vAlign w:val="center"/>
          </w:tcPr>
          <w:p w14:paraId="7E85F44C" w14:textId="25A30654" w:rsidR="00AC00A4" w:rsidRPr="00E1316B" w:rsidRDefault="00E1500E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Incident</w:t>
            </w:r>
            <w:r w:rsidR="00AC00A4"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Name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73FA0E8D" w14:textId="51771900" w:rsidR="00AC00A4" w:rsidRPr="009F32B5" w:rsidRDefault="008C4CBD" w:rsidP="0005707D">
            <w:pPr>
              <w:spacing w:before="120"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Northeast Region Health Care Coalition (</w:t>
            </w:r>
            <w:r w:rsidR="00E30E8F">
              <w:rPr>
                <w:sz w:val="22"/>
                <w:szCs w:val="22"/>
              </w:rPr>
              <w:t>NERHCC</w:t>
            </w:r>
            <w:r>
              <w:rPr>
                <w:sz w:val="22"/>
                <w:szCs w:val="22"/>
              </w:rPr>
              <w:t>)</w:t>
            </w:r>
            <w:r w:rsidR="00E30E8F">
              <w:rPr>
                <w:sz w:val="22"/>
                <w:szCs w:val="22"/>
              </w:rPr>
              <w:t xml:space="preserve"> COVID-19 Initial Response</w:t>
            </w:r>
          </w:p>
        </w:tc>
      </w:tr>
      <w:tr w:rsidR="00AC00A4" w:rsidRPr="001D6096" w14:paraId="10B7D0D1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25DD594B" w14:textId="3EAF7018" w:rsidR="00AC00A4" w:rsidRPr="00E1316B" w:rsidRDefault="00E1500E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Incident</w:t>
            </w:r>
            <w:r w:rsidR="00AC00A4"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Dates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37B75EAC" w14:textId="29D7FC74" w:rsidR="00D85D01" w:rsidRPr="00E30E8F" w:rsidRDefault="008F42DD" w:rsidP="0005707D">
            <w:pPr>
              <w:spacing w:after="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 10</w:t>
            </w:r>
            <w:r w:rsidR="00E30E8F" w:rsidRPr="00E30E8F">
              <w:rPr>
                <w:bCs/>
                <w:sz w:val="22"/>
                <w:szCs w:val="22"/>
              </w:rPr>
              <w:t xml:space="preserve"> until May 30, 2020</w:t>
            </w:r>
          </w:p>
        </w:tc>
      </w:tr>
      <w:tr w:rsidR="00AC00A4" w:rsidRPr="001D6096" w14:paraId="64D9CFAE" w14:textId="77777777" w:rsidTr="00432C54">
        <w:trPr>
          <w:trHeight w:val="792"/>
        </w:trPr>
        <w:tc>
          <w:tcPr>
            <w:tcW w:w="2160" w:type="dxa"/>
            <w:shd w:val="clear" w:color="auto" w:fill="000080"/>
            <w:vAlign w:val="center"/>
          </w:tcPr>
          <w:p w14:paraId="76D29DB7" w14:textId="180F687C" w:rsidR="00AC00A4" w:rsidRPr="00E1316B" w:rsidRDefault="00AC00A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08F973BD" w14:textId="107E5C8D" w:rsidR="00504F97" w:rsidRPr="00E30E8F" w:rsidRDefault="00E30E8F" w:rsidP="0005707D">
            <w:pPr>
              <w:pStyle w:val="BodyText"/>
              <w:spacing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This After-Action Report addresses the initial response to the COVID-19 pandemic for the Northeast Region Healthcare Coalition between the dates of </w:t>
            </w:r>
            <w:r w:rsidR="00333D63">
              <w:rPr>
                <w:bCs/>
                <w:sz w:val="22"/>
                <w:szCs w:val="22"/>
              </w:rPr>
              <w:t>March 10, 202</w:t>
            </w:r>
            <w:r w:rsidR="004B26D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54BD7">
              <w:rPr>
                <w:bCs/>
                <w:sz w:val="22"/>
                <w:szCs w:val="22"/>
              </w:rPr>
              <w:t>through</w:t>
            </w:r>
            <w:r>
              <w:rPr>
                <w:bCs/>
                <w:sz w:val="22"/>
                <w:szCs w:val="22"/>
              </w:rPr>
              <w:t xml:space="preserve"> May 30, 2020. Although the pandemic is ongoing, this report will consolidate initial lessons learned to support ongoing strategic planning efforts. </w:t>
            </w:r>
            <w:r w:rsidR="00673616">
              <w:rPr>
                <w:bCs/>
                <w:sz w:val="22"/>
                <w:szCs w:val="22"/>
              </w:rPr>
              <w:t>Information from this report was compiled from a</w:t>
            </w:r>
            <w:r w:rsidR="000576FE">
              <w:rPr>
                <w:bCs/>
                <w:sz w:val="22"/>
                <w:szCs w:val="22"/>
              </w:rPr>
              <w:t xml:space="preserve">n NERHCC survey conducted on June 5, 2020. </w:t>
            </w:r>
          </w:p>
        </w:tc>
      </w:tr>
      <w:tr w:rsidR="00AC00A4" w:rsidRPr="001D6096" w14:paraId="1EAD3C2E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130144FE" w14:textId="484236CC" w:rsidR="00AC00A4" w:rsidRPr="00E1316B" w:rsidRDefault="00AC00A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>Mission Area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32C084A3" w14:textId="699024CD" w:rsidR="00AC00A4" w:rsidRPr="009F32B5" w:rsidRDefault="00AC00A4" w:rsidP="0005707D">
            <w:pPr>
              <w:spacing w:before="120" w:after="40"/>
              <w:rPr>
                <w:b/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Response</w:t>
            </w:r>
          </w:p>
        </w:tc>
      </w:tr>
      <w:tr w:rsidR="00AC00A4" w:rsidRPr="001D6096" w14:paraId="4BB505EA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76EA77D1" w14:textId="1251F89E" w:rsidR="00AC00A4" w:rsidRPr="00E1316B" w:rsidRDefault="00BC65ED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</w:t>
            </w:r>
            <w:r w:rsidR="00AA7D6C">
              <w:rPr>
                <w:rFonts w:asciiTheme="minorHAnsi" w:hAnsiTheme="minorHAnsi"/>
                <w:b/>
                <w:color w:val="FFFFFF" w:themeColor="background1"/>
                <w:szCs w:val="20"/>
              </w:rPr>
              <w:t>ealth Care Preparedness &amp; Response</w:t>
            </w:r>
            <w:r w:rsidR="00AC00A4"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Capabilities</w:t>
            </w:r>
            <w:r w:rsidR="006D1DDE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(HCPR)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21C483E7" w14:textId="77777777" w:rsidR="00AC00A4" w:rsidRDefault="00C43794" w:rsidP="00BF2534">
            <w:pPr>
              <w:pStyle w:val="ListParagraph"/>
              <w:numPr>
                <w:ilvl w:val="0"/>
                <w:numId w:val="7"/>
              </w:numPr>
              <w:spacing w:before="120" w:after="40"/>
              <w:ind w:left="403"/>
              <w:rPr>
                <w:sz w:val="22"/>
                <w:szCs w:val="22"/>
              </w:rPr>
            </w:pPr>
            <w:r w:rsidRPr="00C43794">
              <w:rPr>
                <w:sz w:val="22"/>
                <w:szCs w:val="22"/>
              </w:rPr>
              <w:t>Foundation for Health Care and Medical Readiness</w:t>
            </w:r>
          </w:p>
          <w:p w14:paraId="5F013B84" w14:textId="77777777" w:rsidR="00C43794" w:rsidRDefault="00C43794" w:rsidP="00BF2534">
            <w:pPr>
              <w:pStyle w:val="ListParagraph"/>
              <w:numPr>
                <w:ilvl w:val="0"/>
                <w:numId w:val="7"/>
              </w:numPr>
              <w:spacing w:before="120" w:after="40"/>
              <w:ind w:left="403"/>
              <w:rPr>
                <w:sz w:val="22"/>
                <w:szCs w:val="22"/>
              </w:rPr>
            </w:pPr>
            <w:r w:rsidRPr="00C43794">
              <w:rPr>
                <w:sz w:val="22"/>
                <w:szCs w:val="22"/>
              </w:rPr>
              <w:t>Health Care and Medical Response Coordination</w:t>
            </w:r>
          </w:p>
          <w:p w14:paraId="43E139DA" w14:textId="77777777" w:rsidR="00C43794" w:rsidRDefault="00C43794" w:rsidP="00BF2534">
            <w:pPr>
              <w:pStyle w:val="ListParagraph"/>
              <w:numPr>
                <w:ilvl w:val="0"/>
                <w:numId w:val="7"/>
              </w:numPr>
              <w:spacing w:before="120" w:after="40"/>
              <w:ind w:left="403"/>
              <w:rPr>
                <w:sz w:val="22"/>
                <w:szCs w:val="22"/>
              </w:rPr>
            </w:pPr>
            <w:r w:rsidRPr="00C43794">
              <w:rPr>
                <w:sz w:val="22"/>
                <w:szCs w:val="22"/>
              </w:rPr>
              <w:t>Continuity of Health Care Service Delivery</w:t>
            </w:r>
          </w:p>
          <w:p w14:paraId="1C03753A" w14:textId="281C8517" w:rsidR="00C43794" w:rsidRPr="00C43794" w:rsidRDefault="00C43794" w:rsidP="00BF2534">
            <w:pPr>
              <w:pStyle w:val="ListParagraph"/>
              <w:numPr>
                <w:ilvl w:val="0"/>
                <w:numId w:val="7"/>
              </w:numPr>
              <w:spacing w:before="120" w:after="40"/>
              <w:ind w:left="403"/>
              <w:rPr>
                <w:sz w:val="22"/>
                <w:szCs w:val="22"/>
              </w:rPr>
            </w:pPr>
            <w:r w:rsidRPr="00C43794">
              <w:rPr>
                <w:sz w:val="22"/>
                <w:szCs w:val="22"/>
              </w:rPr>
              <w:t>Medical Surge</w:t>
            </w:r>
          </w:p>
        </w:tc>
      </w:tr>
      <w:tr w:rsidR="00AC00A4" w:rsidRPr="001D6096" w14:paraId="419C96CD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7AB0C5A9" w14:textId="7A90B617" w:rsidR="00AC00A4" w:rsidRPr="00E1316B" w:rsidRDefault="00BC65ED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Core Capability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45B4BBFC" w14:textId="7A3DD2B1" w:rsidR="00AC00A4" w:rsidRPr="00BC65ED" w:rsidRDefault="00A55C7C" w:rsidP="0005707D">
            <w:pPr>
              <w:autoSpaceDN w:val="0"/>
              <w:spacing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Health, Healthcare, and Emergency Medical Services</w:t>
            </w:r>
          </w:p>
        </w:tc>
      </w:tr>
      <w:tr w:rsidR="00A657AE" w:rsidRPr="001D6096" w14:paraId="575B5071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3742DFD9" w14:textId="76B05A06" w:rsidR="00A657AE" w:rsidRPr="00E1316B" w:rsidRDefault="00432C5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Community </w:t>
            </w:r>
            <w:r w:rsidR="00A657AE">
              <w:rPr>
                <w:rFonts w:asciiTheme="minorHAnsi" w:hAnsiTheme="minorHAnsi"/>
                <w:b/>
                <w:color w:val="FFFFFF" w:themeColor="background1"/>
                <w:szCs w:val="20"/>
              </w:rPr>
              <w:t>Lifeline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1B9251DD" w14:textId="3A890E51" w:rsidR="00A657AE" w:rsidRDefault="00432C54" w:rsidP="0005707D">
            <w:pPr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and Medical</w:t>
            </w:r>
            <w:r w:rsidR="009738FA">
              <w:rPr>
                <w:sz w:val="22"/>
                <w:szCs w:val="22"/>
              </w:rPr>
              <w:t>, Communication, and Safety and Security</w:t>
            </w:r>
          </w:p>
        </w:tc>
      </w:tr>
      <w:tr w:rsidR="00AC00A4" w:rsidRPr="001D6096" w14:paraId="0FF1DDB9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2F5211A9" w14:textId="77777777" w:rsidR="00AC00A4" w:rsidRPr="00E1316B" w:rsidRDefault="00AC00A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>Threat/Hazard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7A7C5C67" w14:textId="5E4AF658" w:rsidR="00AC00A4" w:rsidRPr="009F32B5" w:rsidRDefault="00E30E8F" w:rsidP="0005707D">
            <w:pPr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(coronavirus) </w:t>
            </w:r>
            <w:r w:rsidR="00654BD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andemic</w:t>
            </w:r>
          </w:p>
        </w:tc>
      </w:tr>
      <w:tr w:rsidR="00AC00A4" w:rsidRPr="009F32B5" w14:paraId="5C26ED46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4CD3B0E3" w14:textId="2899BBD2" w:rsidR="00AC00A4" w:rsidRPr="00E1316B" w:rsidRDefault="00E30E8F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Incident</w:t>
            </w:r>
            <w:r w:rsidR="00AC00A4"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Summary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16DE836E" w14:textId="58016D02" w:rsidR="00654BD7" w:rsidRDefault="006D39CF" w:rsidP="0005707D">
            <w:pPr>
              <w:spacing w:after="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 state of Emergency for COVID-19 was declared by the Governor of Colorado on March 10, 2020</w:t>
            </w:r>
            <w:r w:rsidR="006D0114">
              <w:rPr>
                <w:iCs/>
                <w:sz w:val="22"/>
                <w:szCs w:val="22"/>
              </w:rPr>
              <w:t xml:space="preserve"> and </w:t>
            </w:r>
            <w:r w:rsidR="00654BD7">
              <w:rPr>
                <w:iCs/>
                <w:sz w:val="22"/>
                <w:szCs w:val="22"/>
              </w:rPr>
              <w:t xml:space="preserve">a Stay at Home Order was issued. The order was </w:t>
            </w:r>
            <w:r w:rsidR="006D0114">
              <w:rPr>
                <w:iCs/>
                <w:sz w:val="22"/>
                <w:szCs w:val="22"/>
              </w:rPr>
              <w:t xml:space="preserve">extended on April 9, 2020. </w:t>
            </w:r>
          </w:p>
          <w:p w14:paraId="49BFB78C" w14:textId="77777777" w:rsidR="00DD27CD" w:rsidRDefault="00DD27CD" w:rsidP="0005707D">
            <w:pPr>
              <w:spacing w:after="40"/>
              <w:rPr>
                <w:iCs/>
                <w:sz w:val="22"/>
                <w:szCs w:val="22"/>
              </w:rPr>
            </w:pPr>
          </w:p>
          <w:p w14:paraId="50DF23F0" w14:textId="7164C9F5" w:rsidR="00654BD7" w:rsidRDefault="006D0114" w:rsidP="0005707D">
            <w:pPr>
              <w:spacing w:after="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 statewide “Safer at Home” order </w:t>
            </w:r>
            <w:r w:rsidR="00335815">
              <w:rPr>
                <w:iCs/>
                <w:sz w:val="22"/>
                <w:szCs w:val="22"/>
              </w:rPr>
              <w:t>went into effect on April 26, 2020 that allowed for a phased reopening in Colorado, while continuing to require social distancing measures</w:t>
            </w:r>
            <w:r w:rsidR="00CC74F6">
              <w:rPr>
                <w:iCs/>
                <w:sz w:val="22"/>
                <w:szCs w:val="22"/>
              </w:rPr>
              <w:t xml:space="preserve"> and stay-at-home requirements for </w:t>
            </w:r>
            <w:r w:rsidR="00774B60">
              <w:rPr>
                <w:iCs/>
                <w:sz w:val="22"/>
                <w:szCs w:val="22"/>
              </w:rPr>
              <w:t>vulnerable</w:t>
            </w:r>
            <w:r w:rsidR="00CC74F6">
              <w:rPr>
                <w:iCs/>
                <w:sz w:val="22"/>
                <w:szCs w:val="22"/>
              </w:rPr>
              <w:t xml:space="preserve"> populations. </w:t>
            </w:r>
          </w:p>
          <w:p w14:paraId="42A4A248" w14:textId="77777777" w:rsidR="00654BD7" w:rsidRDefault="00654BD7" w:rsidP="0005707D">
            <w:pPr>
              <w:spacing w:after="40"/>
              <w:rPr>
                <w:iCs/>
                <w:sz w:val="22"/>
                <w:szCs w:val="22"/>
              </w:rPr>
            </w:pPr>
          </w:p>
          <w:p w14:paraId="7035D485" w14:textId="34166D8C" w:rsidR="00504F97" w:rsidRPr="009F32B5" w:rsidRDefault="00BF216B" w:rsidP="0005707D">
            <w:pPr>
              <w:spacing w:after="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An Executive Order </w:t>
            </w:r>
            <w:r w:rsidR="00953FB6">
              <w:rPr>
                <w:iCs/>
                <w:sz w:val="22"/>
                <w:szCs w:val="22"/>
              </w:rPr>
              <w:t xml:space="preserve">by the Governor of Colorado on May 25, 2020 extended “Safer at Home” through </w:t>
            </w:r>
            <w:r w:rsidR="004B69D2">
              <w:rPr>
                <w:iCs/>
                <w:sz w:val="22"/>
                <w:szCs w:val="22"/>
              </w:rPr>
              <w:t xml:space="preserve">June 1, 2020, while adjusting </w:t>
            </w:r>
            <w:r w:rsidR="007C7405">
              <w:rPr>
                <w:iCs/>
                <w:sz w:val="22"/>
                <w:szCs w:val="22"/>
              </w:rPr>
              <w:t>guidelines</w:t>
            </w:r>
            <w:r w:rsidR="007B70E6">
              <w:rPr>
                <w:iCs/>
                <w:sz w:val="22"/>
                <w:szCs w:val="22"/>
              </w:rPr>
              <w:t xml:space="preserve"> locally</w:t>
            </w:r>
            <w:r w:rsidR="007C7405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AC00A4" w:rsidRPr="001D6096" w14:paraId="376F5BE5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5C69731D" w14:textId="72BCE656" w:rsidR="00AC00A4" w:rsidRPr="00E1316B" w:rsidRDefault="00AC00A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547213D3" w14:textId="7933D7FF" w:rsidR="00AC00A4" w:rsidRPr="00E30E8F" w:rsidRDefault="00E30E8F" w:rsidP="0005707D">
            <w:pPr>
              <w:spacing w:before="120" w:after="40"/>
              <w:rPr>
                <w:bCs/>
                <w:sz w:val="22"/>
                <w:szCs w:val="22"/>
              </w:rPr>
            </w:pPr>
            <w:r w:rsidRPr="00E30E8F">
              <w:rPr>
                <w:bCs/>
                <w:sz w:val="22"/>
                <w:szCs w:val="22"/>
              </w:rPr>
              <w:t>Colorado Northeast Region Healthcare Coalition (NERHCC)</w:t>
            </w:r>
          </w:p>
        </w:tc>
      </w:tr>
      <w:tr w:rsidR="00AC00A4" w:rsidRPr="001D6096" w14:paraId="6C7F7F53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46253CA7" w14:textId="77777777" w:rsidR="00AC00A4" w:rsidRPr="00E1316B" w:rsidRDefault="00AC00A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1D94B20E" w14:textId="5304E49F" w:rsidR="00AC00A4" w:rsidRPr="009F32B5" w:rsidRDefault="0000152F" w:rsidP="0005707D">
            <w:pPr>
              <w:spacing w:after="4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See Appendix A for complete list of participating agencies.</w:t>
            </w:r>
            <w:r w:rsidR="002E52D0">
              <w:rPr>
                <w:sz w:val="22"/>
                <w:szCs w:val="22"/>
              </w:rPr>
              <w:t xml:space="preserve"> </w:t>
            </w:r>
          </w:p>
        </w:tc>
      </w:tr>
      <w:tr w:rsidR="00AC00A4" w:rsidRPr="001D6096" w14:paraId="03DE9416" w14:textId="77777777" w:rsidTr="00432C54">
        <w:trPr>
          <w:trHeight w:val="432"/>
        </w:trPr>
        <w:tc>
          <w:tcPr>
            <w:tcW w:w="2160" w:type="dxa"/>
            <w:shd w:val="clear" w:color="auto" w:fill="000080"/>
            <w:vAlign w:val="center"/>
          </w:tcPr>
          <w:p w14:paraId="724494DA" w14:textId="77777777" w:rsidR="00AC00A4" w:rsidRPr="00E1316B" w:rsidRDefault="00AC00A4" w:rsidP="0005707D">
            <w:pPr>
              <w:spacing w:before="120" w:after="40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E1316B">
              <w:rPr>
                <w:rFonts w:asciiTheme="minorHAnsi" w:hAnsiTheme="minorHAnsi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8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53B0FBB0" w14:textId="77777777" w:rsidR="00AC00A4" w:rsidRPr="0000152F" w:rsidRDefault="00865CDA" w:rsidP="0005707D">
            <w:pPr>
              <w:spacing w:before="120" w:after="40"/>
              <w:rPr>
                <w:sz w:val="22"/>
                <w:szCs w:val="22"/>
              </w:rPr>
            </w:pPr>
            <w:r w:rsidRPr="0000152F">
              <w:rPr>
                <w:sz w:val="22"/>
                <w:szCs w:val="22"/>
              </w:rPr>
              <w:t>Erin Witte</w:t>
            </w:r>
            <w:r w:rsidR="00E30E8F" w:rsidRPr="0000152F">
              <w:rPr>
                <w:sz w:val="22"/>
                <w:szCs w:val="22"/>
              </w:rPr>
              <w:t xml:space="preserve">, </w:t>
            </w:r>
            <w:r w:rsidRPr="0000152F">
              <w:rPr>
                <w:sz w:val="22"/>
                <w:szCs w:val="22"/>
              </w:rPr>
              <w:t>NERHCC Chair, Erin.Witte@bannerhealth.com</w:t>
            </w:r>
            <w:r w:rsidR="00E30E8F" w:rsidRPr="0000152F">
              <w:rPr>
                <w:sz w:val="22"/>
                <w:szCs w:val="22"/>
              </w:rPr>
              <w:t xml:space="preserve"> </w:t>
            </w:r>
          </w:p>
          <w:p w14:paraId="4C0F5938" w14:textId="14A624DB" w:rsidR="0000152F" w:rsidRPr="0000152F" w:rsidRDefault="0000152F" w:rsidP="0005707D">
            <w:pPr>
              <w:spacing w:before="120" w:after="40"/>
              <w:rPr>
                <w:sz w:val="22"/>
                <w:szCs w:val="22"/>
              </w:rPr>
            </w:pPr>
            <w:r w:rsidRPr="0000152F">
              <w:rPr>
                <w:sz w:val="22"/>
                <w:szCs w:val="22"/>
              </w:rPr>
              <w:t>Dustin Handley, NERHCC Co-Chair, Dustin.Handley@uchealth.edu</w:t>
            </w:r>
          </w:p>
        </w:tc>
      </w:tr>
    </w:tbl>
    <w:p w14:paraId="189DC678" w14:textId="77777777" w:rsidR="006746F8" w:rsidRPr="00B51EF7" w:rsidRDefault="006746F8" w:rsidP="006746F8">
      <w:pPr>
        <w:pStyle w:val="BodyText"/>
        <w:sectPr w:rsidR="006746F8" w:rsidRPr="00B51EF7" w:rsidSect="00D2045E">
          <w:footerReference w:type="default" r:id="rId20"/>
          <w:pgSz w:w="12240" w:h="15840" w:code="1"/>
          <w:pgMar w:top="1008" w:right="1152" w:bottom="1008" w:left="1152" w:header="432" w:footer="432" w:gutter="0"/>
          <w:cols w:space="720"/>
          <w:docGrid w:linePitch="360"/>
        </w:sectPr>
      </w:pPr>
    </w:p>
    <w:p w14:paraId="77D395F3" w14:textId="318BD22D" w:rsidR="00D31366" w:rsidRPr="00B51EF7" w:rsidRDefault="00F466AA" w:rsidP="00F26D08">
      <w:pPr>
        <w:pStyle w:val="Heading1"/>
        <w:tabs>
          <w:tab w:val="left" w:pos="180"/>
        </w:tabs>
        <w:spacing w:before="120" w:after="120"/>
      </w:pPr>
      <w:bookmarkStart w:id="3" w:name="_Toc43662140"/>
      <w:r w:rsidRPr="000D65F4">
        <w:lastRenderedPageBreak/>
        <w:t xml:space="preserve">Analysis of </w:t>
      </w:r>
      <w:r w:rsidR="00D46183">
        <w:t>Strengths &amp; Lessons Learned</w:t>
      </w:r>
      <w:bookmarkEnd w:id="3"/>
    </w:p>
    <w:p w14:paraId="6C9CA3D7" w14:textId="1B777B22" w:rsidR="00A751E2" w:rsidRDefault="00AA0A2E" w:rsidP="00CB641B">
      <w:pPr>
        <w:pStyle w:val="BodyText"/>
        <w:spacing w:before="120" w:after="240"/>
      </w:pPr>
      <w:r w:rsidRPr="00812687">
        <w:t>The following section provide</w:t>
      </w:r>
      <w:r w:rsidR="00295681" w:rsidRPr="00812687">
        <w:t>s</w:t>
      </w:r>
      <w:r w:rsidRPr="00812687">
        <w:t xml:space="preserve"> an overview of the</w:t>
      </w:r>
      <w:r w:rsidR="007B70E6">
        <w:t xml:space="preserve"> operational</w:t>
      </w:r>
      <w:r w:rsidRPr="00812687">
        <w:t xml:space="preserve"> performance related to </w:t>
      </w:r>
      <w:r w:rsidR="00A751E2">
        <w:t xml:space="preserve">the </w:t>
      </w:r>
      <w:r w:rsidR="002B40C6">
        <w:t xml:space="preserve">Health Care Preparedness &amp; Response </w:t>
      </w:r>
      <w:r w:rsidR="00A657AE" w:rsidRPr="00812687">
        <w:t>Capabilit</w:t>
      </w:r>
      <w:r w:rsidR="00A751E2">
        <w:t>ies</w:t>
      </w:r>
      <w:r w:rsidRPr="00812687">
        <w:t>, highlighting strengths and areas for improvement.</w:t>
      </w:r>
      <w:r w:rsidR="00983AEC">
        <w:t xml:space="preserve"> </w:t>
      </w:r>
      <w:r w:rsidR="00A751E2">
        <w:t>Each Capability is broken down into specific objectives, so</w:t>
      </w:r>
      <w:r w:rsidR="007B70E6">
        <w:t xml:space="preserve"> the</w:t>
      </w:r>
      <w:r w:rsidR="00A751E2">
        <w:t xml:space="preserve"> findings were categorized u</w:t>
      </w:r>
      <w:r w:rsidR="007B70E6">
        <w:t>sing</w:t>
      </w:r>
      <w:r w:rsidR="00A751E2">
        <w:t xml:space="preserve"> those objectives. </w:t>
      </w:r>
    </w:p>
    <w:p w14:paraId="04232C91" w14:textId="24AE62FE" w:rsidR="00AA0A2E" w:rsidRPr="00812687" w:rsidRDefault="00983AEC" w:rsidP="00CB641B">
      <w:pPr>
        <w:pStyle w:val="BodyText"/>
        <w:spacing w:before="120" w:after="240"/>
      </w:pPr>
      <w:r>
        <w:t>I</w:t>
      </w:r>
      <w:r w:rsidR="008573C4">
        <w:t xml:space="preserve">nformation from </w:t>
      </w:r>
      <w:r w:rsidR="00A751E2">
        <w:t>the</w:t>
      </w:r>
      <w:r w:rsidR="008573C4">
        <w:t xml:space="preserve"> North</w:t>
      </w:r>
      <w:r w:rsidR="00997C17">
        <w:t>east Region Health Care Coalition</w:t>
      </w:r>
      <w:r w:rsidR="007651FB">
        <w:t xml:space="preserve"> survey</w:t>
      </w:r>
      <w:r w:rsidR="00A751E2">
        <w:t xml:space="preserve"> was summarized to provide the following overview</w:t>
      </w:r>
      <w:r w:rsidR="00997C17">
        <w:t xml:space="preserve">. </w:t>
      </w:r>
      <w:r w:rsidR="00A751E2">
        <w:t>Similar or duplicate findings were combined in the overall analysis</w:t>
      </w:r>
      <w:r w:rsidR="007B70E6">
        <w:t xml:space="preserve">. </w:t>
      </w:r>
      <w:r w:rsidR="00A751E2">
        <w:t xml:space="preserve">County specific data </w:t>
      </w:r>
      <w:r w:rsidR="007B70E6">
        <w:t>gathered</w:t>
      </w:r>
      <w:r w:rsidR="00A751E2">
        <w:t xml:space="preserve"> through the survey </w:t>
      </w:r>
      <w:r w:rsidR="007B70E6">
        <w:t xml:space="preserve">may be </w:t>
      </w:r>
      <w:r w:rsidR="00A751E2">
        <w:t xml:space="preserve">available </w:t>
      </w:r>
      <w:r w:rsidR="007B70E6">
        <w:t>upon request, although in smaller jurisdictions where there were two or less survey participants, county data will not be available as it would be impossible to provide the feedback anonymously</w:t>
      </w:r>
      <w:r w:rsidR="00A751E2">
        <w:t xml:space="preserve">. </w:t>
      </w:r>
    </w:p>
    <w:tbl>
      <w:tblPr>
        <w:tblW w:w="9720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9E71DD" w:rsidRPr="00B51EF7" w14:paraId="2C0D7901" w14:textId="77777777" w:rsidTr="00D85D01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034E0795" w14:textId="0B9AED0B" w:rsidR="009E71DD" w:rsidRPr="00F26D08" w:rsidRDefault="00A657AE" w:rsidP="00997C17">
            <w:pPr>
              <w:pStyle w:val="Heading2"/>
              <w:spacing w:before="0"/>
            </w:pPr>
            <w:bookmarkStart w:id="4" w:name="_Toc43662141"/>
            <w:r w:rsidRPr="00A751E2">
              <w:rPr>
                <w:sz w:val="28"/>
                <w:szCs w:val="28"/>
              </w:rPr>
              <w:t>Capability 1</w:t>
            </w:r>
            <w:r w:rsidR="003001E6" w:rsidRPr="00A751E2">
              <w:rPr>
                <w:sz w:val="28"/>
                <w:szCs w:val="28"/>
              </w:rPr>
              <w:t xml:space="preserve"> – </w:t>
            </w:r>
            <w:r w:rsidR="0061528B" w:rsidRPr="00A751E2">
              <w:rPr>
                <w:sz w:val="28"/>
                <w:szCs w:val="28"/>
              </w:rPr>
              <w:t>Foundation for Health Care and Medical Readiness</w:t>
            </w:r>
            <w:bookmarkEnd w:id="4"/>
          </w:p>
        </w:tc>
      </w:tr>
      <w:tr w:rsidR="00440071" w:rsidRPr="00B51EF7" w14:paraId="1F0AC93D" w14:textId="77777777" w:rsidTr="009C0334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38777C7" w14:textId="42AC8920" w:rsidR="00440071" w:rsidRPr="002A3DFD" w:rsidRDefault="002A3DFD" w:rsidP="000547D1">
            <w:pPr>
              <w:pStyle w:val="Heading6"/>
            </w:pPr>
            <w:r w:rsidRPr="00754ABA">
              <w:rPr>
                <w:b/>
                <w:bCs/>
              </w:rPr>
              <w:t>Public Health Capabilit</w:t>
            </w:r>
            <w:r w:rsidR="007B70E6">
              <w:rPr>
                <w:b/>
                <w:bCs/>
              </w:rPr>
              <w:t>ies</w:t>
            </w:r>
            <w:r>
              <w:t xml:space="preserve">: </w:t>
            </w:r>
            <w:r w:rsidR="00A553EE" w:rsidRPr="006B53F5">
              <w:rPr>
                <w:color w:val="auto"/>
              </w:rPr>
              <w:t>1</w:t>
            </w:r>
            <w:r w:rsidR="007B70E6">
              <w:rPr>
                <w:color w:val="auto"/>
              </w:rPr>
              <w:t>.</w:t>
            </w:r>
            <w:r w:rsidR="00652332" w:rsidRPr="006B53F5">
              <w:rPr>
                <w:color w:val="auto"/>
              </w:rPr>
              <w:t xml:space="preserve"> Community Preparedness, </w:t>
            </w:r>
            <w:r w:rsidR="007B70E6" w:rsidRPr="006B53F5">
              <w:rPr>
                <w:color w:val="auto"/>
              </w:rPr>
              <w:t>14.</w:t>
            </w:r>
            <w:r w:rsidR="007B70E6">
              <w:rPr>
                <w:color w:val="auto"/>
              </w:rPr>
              <w:t xml:space="preserve"> </w:t>
            </w:r>
            <w:r w:rsidR="00652332" w:rsidRPr="006B53F5">
              <w:rPr>
                <w:color w:val="auto"/>
              </w:rPr>
              <w:t>Responder Safety and Health</w:t>
            </w:r>
          </w:p>
        </w:tc>
      </w:tr>
      <w:tr w:rsidR="002A3DFD" w:rsidRPr="00B51EF7" w14:paraId="7C78A344" w14:textId="77777777" w:rsidTr="009C0334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58CB36" w14:textId="29DC72AC" w:rsidR="002A3DFD" w:rsidRPr="002A3DFD" w:rsidRDefault="002A3DFD" w:rsidP="000547D1">
            <w:pPr>
              <w:pStyle w:val="Heading6"/>
            </w:pPr>
            <w:r w:rsidRPr="006A3E56">
              <w:rPr>
                <w:b/>
                <w:bCs/>
              </w:rPr>
              <w:t>FEMA Core Capabilit</w:t>
            </w:r>
            <w:r w:rsidR="007B70E6">
              <w:rPr>
                <w:b/>
                <w:bCs/>
              </w:rPr>
              <w:t>ies</w:t>
            </w:r>
            <w:r>
              <w:t xml:space="preserve">: </w:t>
            </w:r>
            <w:r w:rsidR="008E02D2" w:rsidRPr="006B53F5">
              <w:rPr>
                <w:color w:val="auto"/>
              </w:rPr>
              <w:t>Planning, Threats and Hazards Identification</w:t>
            </w:r>
          </w:p>
        </w:tc>
      </w:tr>
    </w:tbl>
    <w:p w14:paraId="3FBBD967" w14:textId="50DA1625" w:rsidR="00707C30" w:rsidRDefault="003001E6" w:rsidP="00CB641B">
      <w:pPr>
        <w:pStyle w:val="Heading3"/>
        <w:spacing w:before="120"/>
      </w:pPr>
      <w:bookmarkStart w:id="5" w:name="_Toc22125005"/>
      <w:r>
        <w:t>Objective 2:</w:t>
      </w:r>
      <w:bookmarkEnd w:id="5"/>
      <w:r w:rsidR="00294B1F" w:rsidRPr="00ED76A7">
        <w:t xml:space="preserve"> </w:t>
      </w:r>
      <w:r w:rsidR="00FA59E7" w:rsidRPr="00FA59E7">
        <w:t>Train and Prepare the Health Care and Medical Workforce</w:t>
      </w:r>
    </w:p>
    <w:p w14:paraId="3DC486CC" w14:textId="77777777" w:rsidR="009F32B5" w:rsidRPr="00AF31A5" w:rsidRDefault="009F32B5" w:rsidP="00364EE0">
      <w:pPr>
        <w:pStyle w:val="Heading4"/>
        <w:spacing w:before="120" w:after="120"/>
      </w:pPr>
      <w:r w:rsidRPr="00AF31A5">
        <w:t>Strengths</w:t>
      </w:r>
    </w:p>
    <w:p w14:paraId="4ACA7739" w14:textId="6821B703" w:rsidR="00154DC6" w:rsidRDefault="00154DC6" w:rsidP="00BF2534">
      <w:pPr>
        <w:pStyle w:val="BodyText"/>
        <w:numPr>
          <w:ilvl w:val="0"/>
          <w:numId w:val="5"/>
        </w:numPr>
        <w:spacing w:after="120"/>
      </w:pPr>
      <w:r w:rsidRPr="00154DC6">
        <w:rPr>
          <w:b/>
          <w:bCs/>
        </w:rPr>
        <w:t xml:space="preserve">Strength </w:t>
      </w:r>
      <w:r>
        <w:rPr>
          <w:b/>
          <w:bCs/>
        </w:rPr>
        <w:t>1</w:t>
      </w:r>
      <w:r>
        <w:t>: Previous exercises for biological incidents helped facilitate operations for isolation during response.</w:t>
      </w:r>
    </w:p>
    <w:p w14:paraId="50926822" w14:textId="5445A8AF" w:rsidR="00AF31A5" w:rsidRDefault="008A7CA9" w:rsidP="00BF2534">
      <w:pPr>
        <w:pStyle w:val="BodyText"/>
        <w:numPr>
          <w:ilvl w:val="0"/>
          <w:numId w:val="5"/>
        </w:numPr>
        <w:spacing w:after="120"/>
      </w:pPr>
      <w:r w:rsidRPr="00154DC6">
        <w:rPr>
          <w:b/>
          <w:bCs/>
        </w:rPr>
        <w:t xml:space="preserve">Strength </w:t>
      </w:r>
      <w:r w:rsidR="007035DC">
        <w:rPr>
          <w:b/>
          <w:bCs/>
        </w:rPr>
        <w:t>2</w:t>
      </w:r>
      <w:r w:rsidR="00851429">
        <w:t xml:space="preserve">: </w:t>
      </w:r>
      <w:r w:rsidR="007035DC">
        <w:t>Reviews and just-in-time training and education for using Personal Protective Equipment</w:t>
      </w:r>
      <w:r w:rsidR="005B6D34">
        <w:t xml:space="preserve"> (PPE), interventions for patients, and code procedures were helpful</w:t>
      </w:r>
      <w:r w:rsidR="00F35A8D">
        <w:t xml:space="preserve"> for ensuring a standardized response in some member agencies. </w:t>
      </w:r>
    </w:p>
    <w:p w14:paraId="5BC2598A" w14:textId="074FD078" w:rsidR="00AA0A2E" w:rsidRDefault="008A7CA9" w:rsidP="00BF2534">
      <w:pPr>
        <w:pStyle w:val="BodyText"/>
        <w:numPr>
          <w:ilvl w:val="0"/>
          <w:numId w:val="5"/>
        </w:numPr>
        <w:spacing w:after="120"/>
      </w:pPr>
      <w:r w:rsidRPr="00154DC6">
        <w:rPr>
          <w:b/>
          <w:bCs/>
        </w:rPr>
        <w:t xml:space="preserve">Strength </w:t>
      </w:r>
      <w:r w:rsidR="00F35A8D">
        <w:rPr>
          <w:b/>
          <w:bCs/>
        </w:rPr>
        <w:t>3</w:t>
      </w:r>
      <w:r w:rsidR="00851429">
        <w:t xml:space="preserve">: Infection control training </w:t>
      </w:r>
      <w:r w:rsidR="00F35A8D">
        <w:t xml:space="preserve">was </w:t>
      </w:r>
      <w:r w:rsidR="00851429">
        <w:t>provided for</w:t>
      </w:r>
      <w:r w:rsidR="007B70E6">
        <w:t xml:space="preserve"> those serving</w:t>
      </w:r>
      <w:r w:rsidR="00851429">
        <w:t xml:space="preserve"> </w:t>
      </w:r>
      <w:r w:rsidR="00F35A8D">
        <w:t xml:space="preserve">individuals experiencing </w:t>
      </w:r>
      <w:r w:rsidR="00851429">
        <w:t>homeless</w:t>
      </w:r>
      <w:r w:rsidR="00F35A8D">
        <w:t xml:space="preserve">ness. </w:t>
      </w:r>
    </w:p>
    <w:p w14:paraId="1DBD732F" w14:textId="76C36F99" w:rsidR="00F24F72" w:rsidRDefault="00F24F72" w:rsidP="00BF2534">
      <w:pPr>
        <w:pStyle w:val="BodyText"/>
        <w:numPr>
          <w:ilvl w:val="0"/>
          <w:numId w:val="5"/>
        </w:numPr>
        <w:spacing w:after="120"/>
      </w:pPr>
      <w:r>
        <w:rPr>
          <w:b/>
          <w:bCs/>
        </w:rPr>
        <w:t>Strength 4</w:t>
      </w:r>
      <w:r>
        <w:t>: Previously conducted training for PPE</w:t>
      </w:r>
      <w:r w:rsidR="007B70E6">
        <w:t>.</w:t>
      </w:r>
      <w:r>
        <w:t xml:space="preserve"> N95 mask fit testing was helpful in</w:t>
      </w:r>
      <w:r w:rsidR="00333F8B">
        <w:t xml:space="preserve"> quickly implementing prevention and mitigation guidance. </w:t>
      </w:r>
    </w:p>
    <w:p w14:paraId="2F3BED35" w14:textId="77777777" w:rsidR="009F32B5" w:rsidRPr="00AF31A5" w:rsidRDefault="009F32B5" w:rsidP="00154DC6">
      <w:pPr>
        <w:pStyle w:val="Heading4"/>
        <w:spacing w:after="120"/>
      </w:pPr>
      <w:r w:rsidRPr="00AF31A5">
        <w:t>Areas for Improvement</w:t>
      </w:r>
    </w:p>
    <w:p w14:paraId="365CDE3A" w14:textId="417D3898" w:rsidR="00C95158" w:rsidRDefault="00FA59E7" w:rsidP="00BF2534">
      <w:pPr>
        <w:pStyle w:val="BodyText"/>
        <w:numPr>
          <w:ilvl w:val="0"/>
          <w:numId w:val="6"/>
        </w:numPr>
        <w:spacing w:after="40"/>
      </w:pPr>
      <w:r w:rsidRPr="00FA59E7">
        <w:rPr>
          <w:b/>
          <w:bCs/>
        </w:rPr>
        <w:t xml:space="preserve">Area for Improvement </w:t>
      </w:r>
      <w:r w:rsidR="007F2A56">
        <w:rPr>
          <w:b/>
          <w:bCs/>
        </w:rPr>
        <w:t>1</w:t>
      </w:r>
      <w:r>
        <w:t xml:space="preserve">: </w:t>
      </w:r>
      <w:r w:rsidR="007F2A56">
        <w:t>Participants identified the following training</w:t>
      </w:r>
      <w:r w:rsidR="00774415">
        <w:t xml:space="preserve"> and exercise</w:t>
      </w:r>
      <w:r w:rsidR="007F2A56">
        <w:t xml:space="preserve"> needs</w:t>
      </w:r>
      <w:r w:rsidR="00774415">
        <w:t>:</w:t>
      </w:r>
    </w:p>
    <w:p w14:paraId="72A74FD2" w14:textId="6B2E4D65" w:rsidR="00774415" w:rsidRDefault="00774415" w:rsidP="00BF2534">
      <w:pPr>
        <w:pStyle w:val="BodyText"/>
        <w:numPr>
          <w:ilvl w:val="1"/>
          <w:numId w:val="8"/>
        </w:numPr>
        <w:spacing w:after="0"/>
      </w:pPr>
      <w:r>
        <w:t>Alternate Care Facility</w:t>
      </w:r>
      <w:r w:rsidR="00CB641B">
        <w:t xml:space="preserve">, </w:t>
      </w:r>
      <w:r>
        <w:t>Medical Surge</w:t>
      </w:r>
      <w:r w:rsidR="00CB641B">
        <w:t>, &amp; Rapid Isolation</w:t>
      </w:r>
    </w:p>
    <w:p w14:paraId="64C7AEF9" w14:textId="7C76A078" w:rsidR="00774415" w:rsidRDefault="00774415" w:rsidP="00BF2534">
      <w:pPr>
        <w:pStyle w:val="BodyText"/>
        <w:numPr>
          <w:ilvl w:val="1"/>
          <w:numId w:val="8"/>
        </w:numPr>
        <w:spacing w:after="0"/>
      </w:pPr>
      <w:r>
        <w:t xml:space="preserve">Contact </w:t>
      </w:r>
      <w:r w:rsidR="00865CDA">
        <w:t>tracing</w:t>
      </w:r>
      <w:r>
        <w:t xml:space="preserve"> and case investigation </w:t>
      </w:r>
    </w:p>
    <w:p w14:paraId="26776D5D" w14:textId="0F5EE9F0" w:rsidR="00774415" w:rsidRDefault="00774415" w:rsidP="00BF2534">
      <w:pPr>
        <w:pStyle w:val="BodyText"/>
        <w:numPr>
          <w:ilvl w:val="1"/>
          <w:numId w:val="8"/>
        </w:numPr>
        <w:spacing w:after="0"/>
      </w:pPr>
      <w:r>
        <w:t>Communication workflow and verifying guidance across stakeholders</w:t>
      </w:r>
    </w:p>
    <w:p w14:paraId="474150A3" w14:textId="20C1498B" w:rsidR="00774415" w:rsidRDefault="00774415" w:rsidP="00BF2534">
      <w:pPr>
        <w:pStyle w:val="BodyText"/>
        <w:numPr>
          <w:ilvl w:val="1"/>
          <w:numId w:val="8"/>
        </w:numPr>
        <w:spacing w:after="0"/>
      </w:pPr>
      <w:r>
        <w:t>Continuity of Operations</w:t>
      </w:r>
      <w:r w:rsidR="00EB740A">
        <w:t xml:space="preserve"> </w:t>
      </w:r>
    </w:p>
    <w:p w14:paraId="5450B440" w14:textId="03D642E2" w:rsidR="00EB740A" w:rsidRDefault="00EB740A" w:rsidP="00BF2534">
      <w:pPr>
        <w:pStyle w:val="BodyText"/>
        <w:numPr>
          <w:ilvl w:val="1"/>
          <w:numId w:val="8"/>
        </w:numPr>
        <w:spacing w:after="0"/>
      </w:pPr>
      <w:r>
        <w:t>Decontamination</w:t>
      </w:r>
    </w:p>
    <w:p w14:paraId="09F04232" w14:textId="38F4DDEE" w:rsidR="00774415" w:rsidRDefault="00774415" w:rsidP="00BF2534">
      <w:pPr>
        <w:pStyle w:val="BodyText"/>
        <w:numPr>
          <w:ilvl w:val="1"/>
          <w:numId w:val="8"/>
        </w:numPr>
        <w:spacing w:after="0"/>
      </w:pPr>
      <w:r>
        <w:t>Emergency Operations Center and Department Operations Center</w:t>
      </w:r>
    </w:p>
    <w:p w14:paraId="7A1E295A" w14:textId="7C4F3EF0" w:rsidR="00EB740A" w:rsidRDefault="00EB740A" w:rsidP="00BF2534">
      <w:pPr>
        <w:pStyle w:val="BodyText"/>
        <w:numPr>
          <w:ilvl w:val="1"/>
          <w:numId w:val="8"/>
        </w:numPr>
        <w:spacing w:after="0"/>
      </w:pPr>
      <w:r>
        <w:t xml:space="preserve">EMS </w:t>
      </w:r>
      <w:r w:rsidR="008828B3">
        <w:t xml:space="preserve">&amp; Hospital </w:t>
      </w:r>
      <w:r>
        <w:t>protocols for pandemic incidents</w:t>
      </w:r>
    </w:p>
    <w:p w14:paraId="4E2D8928" w14:textId="51BB46E8" w:rsidR="008828B3" w:rsidRDefault="008828B3" w:rsidP="00BF2534">
      <w:pPr>
        <w:pStyle w:val="BodyText"/>
        <w:numPr>
          <w:ilvl w:val="1"/>
          <w:numId w:val="8"/>
        </w:numPr>
        <w:spacing w:after="0"/>
      </w:pPr>
      <w:r>
        <w:t>Incident Command System &amp; Hospital Incident Command System</w:t>
      </w:r>
    </w:p>
    <w:p w14:paraId="77E832B1" w14:textId="2C1A461F" w:rsidR="00273497" w:rsidRDefault="00273497" w:rsidP="00BF2534">
      <w:pPr>
        <w:pStyle w:val="BodyText"/>
        <w:numPr>
          <w:ilvl w:val="1"/>
          <w:numId w:val="8"/>
        </w:numPr>
        <w:spacing w:after="0"/>
      </w:pPr>
      <w:r>
        <w:t xml:space="preserve">Prevention &amp; Mitigation – PPE fit testing, infection control techniques, disinfection, face shields, donning, doffing, </w:t>
      </w:r>
      <w:r w:rsidR="00CB641B">
        <w:t>isolation, social distancing,</w:t>
      </w:r>
      <w:r>
        <w:t xml:space="preserve"> etc. </w:t>
      </w:r>
    </w:p>
    <w:p w14:paraId="1ACFE415" w14:textId="3225FFAB" w:rsidR="00EB740A" w:rsidRDefault="008828B3" w:rsidP="00BF2534">
      <w:pPr>
        <w:pStyle w:val="BodyText"/>
        <w:numPr>
          <w:ilvl w:val="1"/>
          <w:numId w:val="8"/>
        </w:numPr>
        <w:spacing w:after="0"/>
      </w:pPr>
      <w:r>
        <w:t>Resource management and tracking</w:t>
      </w:r>
      <w:r w:rsidR="00CB641B">
        <w:t xml:space="preserve"> (213RR, </w:t>
      </w:r>
      <w:proofErr w:type="spellStart"/>
      <w:r w:rsidR="00CB641B">
        <w:t>EMResource</w:t>
      </w:r>
      <w:proofErr w:type="spellEnd"/>
      <w:r w:rsidR="00CB641B">
        <w:t xml:space="preserve">, </w:t>
      </w:r>
      <w:proofErr w:type="spellStart"/>
      <w:r w:rsidR="00CB641B">
        <w:t>WebEOC</w:t>
      </w:r>
      <w:proofErr w:type="spellEnd"/>
      <w:r w:rsidR="00CB641B">
        <w:t>, Rapid Tag)</w:t>
      </w:r>
    </w:p>
    <w:p w14:paraId="7C21061F" w14:textId="0A6B5A87" w:rsidR="00CB641B" w:rsidRPr="009940AF" w:rsidRDefault="00CB641B" w:rsidP="00BF2534">
      <w:pPr>
        <w:pStyle w:val="BodyText"/>
        <w:numPr>
          <w:ilvl w:val="1"/>
          <w:numId w:val="8"/>
        </w:numPr>
        <w:spacing w:after="0"/>
      </w:pPr>
      <w:r>
        <w:t xml:space="preserve">Screening of patients </w:t>
      </w:r>
    </w:p>
    <w:p w14:paraId="3D88B54A" w14:textId="181938F5" w:rsidR="009940AF" w:rsidRDefault="00865CDA" w:rsidP="007B70E6">
      <w:pPr>
        <w:pStyle w:val="BodyText"/>
        <w:numPr>
          <w:ilvl w:val="1"/>
          <w:numId w:val="8"/>
        </w:numPr>
        <w:spacing w:after="200"/>
      </w:pPr>
      <w:r>
        <w:lastRenderedPageBreak/>
        <w:t>Ventilator</w:t>
      </w:r>
      <w:r w:rsidR="009940AF">
        <w:t xml:space="preserve">, </w:t>
      </w:r>
      <w:r w:rsidR="00774B60">
        <w:t>intubation,</w:t>
      </w:r>
      <w:r w:rsidR="009940AF">
        <w:t xml:space="preserve"> </w:t>
      </w:r>
      <w:r w:rsidR="00774B60">
        <w:t>PAPR</w:t>
      </w:r>
      <w:r w:rsidR="009940AF">
        <w:t xml:space="preserve"> training</w:t>
      </w:r>
    </w:p>
    <w:p w14:paraId="2E221624" w14:textId="5802252A" w:rsidR="000C2442" w:rsidRDefault="00AF31A5" w:rsidP="00536387">
      <w:pPr>
        <w:pStyle w:val="BodyText"/>
        <w:spacing w:after="480"/>
      </w:pPr>
      <w:r w:rsidRPr="00AF31A5">
        <w:rPr>
          <w:rStyle w:val="Heading4Char"/>
          <w:u w:val="single"/>
        </w:rPr>
        <w:t>Analysis</w:t>
      </w:r>
      <w:r>
        <w:rPr>
          <w:rStyle w:val="Heading4Char"/>
          <w:u w:val="single"/>
        </w:rPr>
        <w:t xml:space="preserve"> o</w:t>
      </w:r>
      <w:r w:rsidR="00A751E2">
        <w:rPr>
          <w:rStyle w:val="Heading4Char"/>
          <w:u w:val="single"/>
        </w:rPr>
        <w:t>f</w:t>
      </w:r>
      <w:r>
        <w:rPr>
          <w:rStyle w:val="Heading4Char"/>
          <w:u w:val="single"/>
        </w:rPr>
        <w:t xml:space="preserve"> Objective</w:t>
      </w:r>
      <w:r w:rsidRPr="00AF31A5">
        <w:rPr>
          <w:rStyle w:val="Heading4Char"/>
          <w:u w:val="single"/>
        </w:rPr>
        <w:t>:</w:t>
      </w:r>
      <w:r w:rsidRPr="00AF31A5">
        <w:t xml:space="preserve"> </w:t>
      </w:r>
      <w:r w:rsidR="00E77C48">
        <w:t>Trainings and exercises previously conducted were helpful during the response</w:t>
      </w:r>
      <w:r w:rsidR="00A751E2">
        <w:t xml:space="preserve"> to COVID-19</w:t>
      </w:r>
      <w:r w:rsidR="00E77C48">
        <w:t>.</w:t>
      </w:r>
      <w:r w:rsidR="00A751E2">
        <w:t xml:space="preserve"> NERHCC</w:t>
      </w:r>
      <w:r w:rsidR="00E77C48">
        <w:t xml:space="preserve"> Members identified trainings and exercises that should be considered in future Training &amp; Exercise Plan</w:t>
      </w:r>
      <w:r w:rsidR="007B70E6">
        <w:t>s</w:t>
      </w:r>
      <w:r w:rsidR="00E77C48">
        <w:t>. Cross</w:t>
      </w:r>
      <w:r w:rsidR="0020383F">
        <w:t>-sector and interagency training and exercise opportunities were encouraged by many survey participants</w:t>
      </w:r>
      <w:r w:rsidR="00A751E2">
        <w:t xml:space="preserve"> and would have been beneficial for this response, so </w:t>
      </w:r>
      <w:r w:rsidR="007B70E6">
        <w:t>those opportunities should be emphasized</w:t>
      </w:r>
      <w:r w:rsidR="00A751E2">
        <w:t xml:space="preserve"> in future offerings. </w:t>
      </w:r>
    </w:p>
    <w:tbl>
      <w:tblPr>
        <w:tblW w:w="9720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D154C" w:rsidRPr="00B51EF7" w14:paraId="1E3E69A2" w14:textId="77777777" w:rsidTr="00E954C6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6B28FB52" w14:textId="6417C1F3" w:rsidR="005D154C" w:rsidRPr="00A751E2" w:rsidRDefault="00865CDA" w:rsidP="00227C26">
            <w:pPr>
              <w:pStyle w:val="Heading2"/>
              <w:rPr>
                <w:sz w:val="28"/>
                <w:szCs w:val="28"/>
              </w:rPr>
            </w:pPr>
            <w:bookmarkStart w:id="6" w:name="_Toc43662142"/>
            <w:r w:rsidRPr="00A751E2">
              <w:rPr>
                <w:sz w:val="28"/>
                <w:szCs w:val="28"/>
              </w:rPr>
              <w:t>Capability</w:t>
            </w:r>
            <w:r w:rsidR="007D3C57" w:rsidRPr="00A751E2">
              <w:rPr>
                <w:sz w:val="28"/>
                <w:szCs w:val="28"/>
              </w:rPr>
              <w:t xml:space="preserve"> 2 - Health Care and Medical Response Coordination</w:t>
            </w:r>
            <w:bookmarkEnd w:id="6"/>
          </w:p>
        </w:tc>
      </w:tr>
      <w:tr w:rsidR="009C0334" w:rsidRPr="00B51EF7" w14:paraId="5574C177" w14:textId="77777777" w:rsidTr="006D4477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DEBADBA" w14:textId="2B1709CA" w:rsidR="009C0334" w:rsidRPr="007D3C57" w:rsidRDefault="009C0334" w:rsidP="000547D1">
            <w:pPr>
              <w:pStyle w:val="Heading6"/>
            </w:pPr>
            <w:r w:rsidRPr="00EE5A3B">
              <w:rPr>
                <w:b/>
                <w:bCs/>
              </w:rPr>
              <w:t>Public Health Capabilit</w:t>
            </w:r>
            <w:r w:rsidR="007B70E6">
              <w:rPr>
                <w:b/>
                <w:bCs/>
              </w:rPr>
              <w:t>ies</w:t>
            </w:r>
            <w:r>
              <w:t xml:space="preserve">: </w:t>
            </w:r>
            <w:r w:rsidR="0085424C" w:rsidRPr="006B53F5">
              <w:rPr>
                <w:color w:val="auto"/>
              </w:rPr>
              <w:t>3</w:t>
            </w:r>
            <w:r w:rsidR="007B70E6">
              <w:rPr>
                <w:color w:val="auto"/>
              </w:rPr>
              <w:t xml:space="preserve">. </w:t>
            </w:r>
            <w:r w:rsidR="0085424C" w:rsidRPr="006B53F5">
              <w:rPr>
                <w:color w:val="auto"/>
              </w:rPr>
              <w:t>Emergency Operations Coordination, 4</w:t>
            </w:r>
            <w:r w:rsidR="007B70E6">
              <w:rPr>
                <w:color w:val="auto"/>
              </w:rPr>
              <w:t>.</w:t>
            </w:r>
            <w:r w:rsidR="0085424C" w:rsidRPr="006B53F5">
              <w:rPr>
                <w:color w:val="auto"/>
              </w:rPr>
              <w:t xml:space="preserve"> Emergency Public Information and Warning, 6</w:t>
            </w:r>
            <w:r w:rsidR="007B70E6">
              <w:rPr>
                <w:color w:val="auto"/>
              </w:rPr>
              <w:t xml:space="preserve">. </w:t>
            </w:r>
            <w:r w:rsidR="0085424C" w:rsidRPr="006B53F5">
              <w:rPr>
                <w:color w:val="auto"/>
              </w:rPr>
              <w:t>Information Sharing</w:t>
            </w:r>
          </w:p>
        </w:tc>
      </w:tr>
      <w:tr w:rsidR="009C0334" w:rsidRPr="002A3DFD" w14:paraId="336AC620" w14:textId="77777777" w:rsidTr="006D4477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5FC197F" w14:textId="55035EB4" w:rsidR="009C0334" w:rsidRDefault="009C0334" w:rsidP="000547D1">
            <w:pPr>
              <w:pStyle w:val="Heading6"/>
            </w:pPr>
            <w:r w:rsidRPr="00EE5A3B">
              <w:rPr>
                <w:b/>
                <w:bCs/>
              </w:rPr>
              <w:t>FEMA Core Capabilit</w:t>
            </w:r>
            <w:r w:rsidR="007B70E6">
              <w:rPr>
                <w:b/>
                <w:bCs/>
              </w:rPr>
              <w:t>ies</w:t>
            </w:r>
            <w:r>
              <w:t xml:space="preserve">: </w:t>
            </w:r>
            <w:r w:rsidR="00FB7FDF" w:rsidRPr="006B53F5">
              <w:rPr>
                <w:color w:val="auto"/>
              </w:rPr>
              <w:t>Operational Coordination, Situational Assessment</w:t>
            </w:r>
          </w:p>
        </w:tc>
      </w:tr>
    </w:tbl>
    <w:p w14:paraId="573FD02F" w14:textId="4C7E20BD" w:rsidR="00C85428" w:rsidRDefault="00C85428" w:rsidP="00364EE0">
      <w:pPr>
        <w:pStyle w:val="Heading3"/>
        <w:spacing w:before="120"/>
      </w:pPr>
      <w:r w:rsidRPr="00D72F22">
        <w:t xml:space="preserve">Objective 1: </w:t>
      </w:r>
      <w:r w:rsidR="002A2224" w:rsidRPr="00D72F22">
        <w:t>Develop</w:t>
      </w:r>
      <w:r w:rsidR="002A2224" w:rsidRPr="002A2224">
        <w:t xml:space="preserve"> and Coordinate Health Care Organization and Health Care Coalition Response Plans</w:t>
      </w:r>
    </w:p>
    <w:p w14:paraId="15240A50" w14:textId="77777777" w:rsidR="002A2224" w:rsidRPr="00AF31A5" w:rsidRDefault="002A2224" w:rsidP="00B1630E">
      <w:pPr>
        <w:pStyle w:val="Heading4"/>
        <w:spacing w:after="120"/>
      </w:pPr>
      <w:r w:rsidRPr="00AF31A5">
        <w:t>Strengths</w:t>
      </w:r>
    </w:p>
    <w:p w14:paraId="22AC6652" w14:textId="66A66A29" w:rsidR="002A2224" w:rsidRDefault="002A2224" w:rsidP="00BF2534">
      <w:pPr>
        <w:pStyle w:val="BodyText"/>
        <w:numPr>
          <w:ilvl w:val="0"/>
          <w:numId w:val="9"/>
        </w:numPr>
        <w:spacing w:after="120"/>
      </w:pPr>
      <w:r w:rsidRPr="000046F2">
        <w:rPr>
          <w:b/>
          <w:bCs/>
        </w:rPr>
        <w:t>Strength 1</w:t>
      </w:r>
      <w:r>
        <w:t xml:space="preserve">: </w:t>
      </w:r>
      <w:r w:rsidR="00ED03F6">
        <w:t xml:space="preserve">Members </w:t>
      </w:r>
      <w:r w:rsidR="00D0038C">
        <w:t xml:space="preserve">referenced flexibility across stakeholders and being able to adjust plans based on </w:t>
      </w:r>
      <w:r w:rsidR="00A751E2">
        <w:t xml:space="preserve">current </w:t>
      </w:r>
      <w:r w:rsidR="00D0038C">
        <w:t xml:space="preserve">need </w:t>
      </w:r>
      <w:r w:rsidR="00A751E2">
        <w:t xml:space="preserve">/ situation </w:t>
      </w:r>
      <w:r w:rsidR="00D0038C">
        <w:t xml:space="preserve">as a strength. Some agencies used the response as an opportunity to revisit and update current plans. </w:t>
      </w:r>
    </w:p>
    <w:p w14:paraId="596787CA" w14:textId="36295AEF" w:rsidR="00DF4626" w:rsidRDefault="000046F2" w:rsidP="00BF2534">
      <w:pPr>
        <w:pStyle w:val="BodyText"/>
        <w:numPr>
          <w:ilvl w:val="0"/>
          <w:numId w:val="9"/>
        </w:numPr>
        <w:spacing w:after="120"/>
      </w:pPr>
      <w:r w:rsidRPr="000046F2">
        <w:rPr>
          <w:b/>
          <w:bCs/>
        </w:rPr>
        <w:t>Strength 2</w:t>
      </w:r>
      <w:r>
        <w:t xml:space="preserve">: </w:t>
      </w:r>
      <w:r w:rsidR="00035391">
        <w:t xml:space="preserve">Pre-planning and policy development during the response to Ebola was helpful for some agencies to support the response to COVID-19. </w:t>
      </w:r>
      <w:r w:rsidR="00DF4626">
        <w:t>Examples of plans that were developed during the Ebola response include PAPR’s</w:t>
      </w:r>
      <w:r w:rsidR="001628BB">
        <w:t xml:space="preserve">, </w:t>
      </w:r>
      <w:r w:rsidR="00DF4626">
        <w:t>isolated negative pressure rooms</w:t>
      </w:r>
      <w:r w:rsidR="001628BB">
        <w:t xml:space="preserve">, and cleaning protocols. </w:t>
      </w:r>
    </w:p>
    <w:p w14:paraId="68F7D95D" w14:textId="48A98018" w:rsidR="00F0101B" w:rsidRDefault="000046F2" w:rsidP="00BF2534">
      <w:pPr>
        <w:pStyle w:val="BodyText"/>
        <w:numPr>
          <w:ilvl w:val="0"/>
          <w:numId w:val="9"/>
        </w:numPr>
        <w:spacing w:after="120"/>
      </w:pPr>
      <w:r w:rsidRPr="000046F2">
        <w:rPr>
          <w:b/>
          <w:bCs/>
        </w:rPr>
        <w:t>Strength 3</w:t>
      </w:r>
      <w:r>
        <w:t xml:space="preserve">: </w:t>
      </w:r>
      <w:r w:rsidR="001628BB">
        <w:t>The u</w:t>
      </w:r>
      <w:r w:rsidR="00F0101B">
        <w:t xml:space="preserve">se of </w:t>
      </w:r>
      <w:r w:rsidR="001628BB">
        <w:t xml:space="preserve">the Hospital Incident Command System </w:t>
      </w:r>
      <w:r w:rsidR="007B70E6">
        <w:t xml:space="preserve">and </w:t>
      </w:r>
      <w:r w:rsidR="001628BB">
        <w:t>F</w:t>
      </w:r>
      <w:r w:rsidR="00872E25">
        <w:t xml:space="preserve">orms </w:t>
      </w:r>
      <w:r w:rsidR="00774B60">
        <w:t>was</w:t>
      </w:r>
      <w:r w:rsidR="00872E25">
        <w:t xml:space="preserve"> helpful for weekly reports. </w:t>
      </w:r>
    </w:p>
    <w:p w14:paraId="205750C7" w14:textId="77777777" w:rsidR="002A2224" w:rsidRPr="00AF31A5" w:rsidRDefault="002A2224" w:rsidP="00B1630E">
      <w:pPr>
        <w:pStyle w:val="Heading4"/>
        <w:spacing w:after="120"/>
      </w:pPr>
      <w:r w:rsidRPr="00AF31A5">
        <w:t>Areas for Improvement</w:t>
      </w:r>
    </w:p>
    <w:p w14:paraId="531062D1" w14:textId="1886FC86" w:rsidR="00BC24FB" w:rsidRDefault="002A2224" w:rsidP="00BF2534">
      <w:pPr>
        <w:pStyle w:val="BodyText"/>
        <w:numPr>
          <w:ilvl w:val="0"/>
          <w:numId w:val="10"/>
        </w:numPr>
        <w:spacing w:after="40"/>
      </w:pPr>
      <w:r w:rsidRPr="00A8037A">
        <w:rPr>
          <w:b/>
          <w:bCs/>
        </w:rPr>
        <w:t>Area for Improvement 1</w:t>
      </w:r>
      <w:r>
        <w:t xml:space="preserve">: </w:t>
      </w:r>
      <w:r w:rsidR="00BC24FB">
        <w:t xml:space="preserve">Plan development and update needs were </w:t>
      </w:r>
      <w:r w:rsidR="001211AC">
        <w:t>identified by member agencies and include:</w:t>
      </w:r>
    </w:p>
    <w:p w14:paraId="07087F5C" w14:textId="5E92620E" w:rsidR="001211AC" w:rsidRDefault="001211AC" w:rsidP="00BF2534">
      <w:pPr>
        <w:pStyle w:val="BodyText"/>
        <w:numPr>
          <w:ilvl w:val="1"/>
          <w:numId w:val="10"/>
        </w:numPr>
        <w:spacing w:after="0"/>
      </w:pPr>
      <w:r>
        <w:t xml:space="preserve">Alternate Care Facility </w:t>
      </w:r>
    </w:p>
    <w:p w14:paraId="30C8A32E" w14:textId="6F90DA67" w:rsidR="00846F6B" w:rsidRDefault="00846F6B" w:rsidP="00BF2534">
      <w:pPr>
        <w:pStyle w:val="BodyText"/>
        <w:numPr>
          <w:ilvl w:val="1"/>
          <w:numId w:val="10"/>
        </w:numPr>
        <w:spacing w:after="0"/>
      </w:pPr>
      <w:r>
        <w:t>Assisted Living Center isolation</w:t>
      </w:r>
      <w:r w:rsidR="006E7F93">
        <w:t>, social distancing, and PPE</w:t>
      </w:r>
    </w:p>
    <w:p w14:paraId="1042CD17" w14:textId="6782BD0E" w:rsidR="001211AC" w:rsidRDefault="001211AC" w:rsidP="00BF2534">
      <w:pPr>
        <w:pStyle w:val="BodyText"/>
        <w:numPr>
          <w:ilvl w:val="1"/>
          <w:numId w:val="10"/>
        </w:numPr>
        <w:spacing w:after="0"/>
      </w:pPr>
      <w:r>
        <w:t xml:space="preserve">Continuity of Operations (employee absence, </w:t>
      </w:r>
      <w:r w:rsidR="00070CB6">
        <w:t>reduced workforce, telework)</w:t>
      </w:r>
      <w:r>
        <w:t xml:space="preserve"> </w:t>
      </w:r>
    </w:p>
    <w:p w14:paraId="1D9BB8B3" w14:textId="26666013" w:rsidR="00070CB6" w:rsidRDefault="00070CB6" w:rsidP="00BF2534">
      <w:pPr>
        <w:pStyle w:val="BodyText"/>
        <w:numPr>
          <w:ilvl w:val="1"/>
          <w:numId w:val="10"/>
        </w:numPr>
        <w:spacing w:after="0"/>
      </w:pPr>
      <w:r>
        <w:t>Interface and coordination of Public Health, Emergency Management, Health Care Coalitions</w:t>
      </w:r>
      <w:r w:rsidR="00846F6B">
        <w:t xml:space="preserve">, and responders. </w:t>
      </w:r>
    </w:p>
    <w:p w14:paraId="0CDFC322" w14:textId="68EB0F9A" w:rsidR="001211AC" w:rsidRDefault="001211AC" w:rsidP="00BF2534">
      <w:pPr>
        <w:pStyle w:val="BodyText"/>
        <w:numPr>
          <w:ilvl w:val="1"/>
          <w:numId w:val="10"/>
        </w:numPr>
        <w:spacing w:after="0"/>
      </w:pPr>
      <w:r>
        <w:t xml:space="preserve">Medical Surge </w:t>
      </w:r>
      <w:r w:rsidR="00A751E2">
        <w:t>planning</w:t>
      </w:r>
    </w:p>
    <w:p w14:paraId="1EDAC1E6" w14:textId="236A7CE1" w:rsidR="006E7F93" w:rsidRDefault="006E7F93" w:rsidP="00BF2534">
      <w:pPr>
        <w:pStyle w:val="BodyText"/>
        <w:numPr>
          <w:ilvl w:val="1"/>
          <w:numId w:val="10"/>
        </w:numPr>
        <w:spacing w:after="0"/>
      </w:pPr>
      <w:r>
        <w:t xml:space="preserve">PPE and social distancing </w:t>
      </w:r>
    </w:p>
    <w:p w14:paraId="7E62ADE0" w14:textId="77688786" w:rsidR="006E7F93" w:rsidRDefault="006E7F93" w:rsidP="00BF2534">
      <w:pPr>
        <w:pStyle w:val="BodyText"/>
        <w:numPr>
          <w:ilvl w:val="1"/>
          <w:numId w:val="10"/>
        </w:numPr>
        <w:spacing w:after="0"/>
      </w:pPr>
      <w:r>
        <w:t>Resource management</w:t>
      </w:r>
      <w:r w:rsidR="00A751E2">
        <w:t xml:space="preserve"> / How to follow these processes</w:t>
      </w:r>
    </w:p>
    <w:p w14:paraId="61F8D14C" w14:textId="3D61F000" w:rsidR="006E7F93" w:rsidRDefault="006E7F93" w:rsidP="00BF2534">
      <w:pPr>
        <w:pStyle w:val="BodyText"/>
        <w:numPr>
          <w:ilvl w:val="1"/>
          <w:numId w:val="10"/>
        </w:numPr>
        <w:spacing w:after="0"/>
      </w:pPr>
      <w:r>
        <w:t xml:space="preserve">Screening </w:t>
      </w:r>
      <w:r w:rsidR="00BE28B8">
        <w:t xml:space="preserve">and quarantine </w:t>
      </w:r>
      <w:r>
        <w:t>protocols</w:t>
      </w:r>
    </w:p>
    <w:p w14:paraId="232B7B8F" w14:textId="197EB6C1" w:rsidR="006E7F93" w:rsidRDefault="006E7F93" w:rsidP="00BF2534">
      <w:pPr>
        <w:pStyle w:val="BodyText"/>
        <w:numPr>
          <w:ilvl w:val="1"/>
          <w:numId w:val="10"/>
        </w:numPr>
        <w:spacing w:after="0"/>
      </w:pPr>
      <w:r>
        <w:t>Testing</w:t>
      </w:r>
    </w:p>
    <w:p w14:paraId="5BB26D18" w14:textId="6BF5B97E" w:rsidR="006E7F93" w:rsidRDefault="006E7F93" w:rsidP="00BF2534">
      <w:pPr>
        <w:pStyle w:val="BodyText"/>
        <w:numPr>
          <w:ilvl w:val="1"/>
          <w:numId w:val="10"/>
        </w:numPr>
        <w:spacing w:after="0"/>
      </w:pPr>
      <w:r>
        <w:t>Telemedicine</w:t>
      </w:r>
    </w:p>
    <w:p w14:paraId="4093BDC2" w14:textId="0D926C49" w:rsidR="00A751E2" w:rsidRDefault="001211AC" w:rsidP="00A751E2">
      <w:pPr>
        <w:pStyle w:val="BodyText"/>
        <w:numPr>
          <w:ilvl w:val="1"/>
          <w:numId w:val="10"/>
        </w:numPr>
        <w:spacing w:after="0"/>
      </w:pPr>
      <w:r>
        <w:t>Volunteer management</w:t>
      </w:r>
    </w:p>
    <w:p w14:paraId="4550EA8F" w14:textId="5ED00E16" w:rsidR="007B70E6" w:rsidRDefault="007B70E6" w:rsidP="00A751E2">
      <w:pPr>
        <w:pStyle w:val="BodyText"/>
        <w:numPr>
          <w:ilvl w:val="1"/>
          <w:numId w:val="10"/>
        </w:numPr>
        <w:spacing w:after="0"/>
      </w:pPr>
      <w:r>
        <w:t>Coordinated regional plans</w:t>
      </w:r>
    </w:p>
    <w:p w14:paraId="50C2B610" w14:textId="06B4A54A" w:rsidR="002A2224" w:rsidRDefault="00594D9C" w:rsidP="00BF2534">
      <w:pPr>
        <w:pStyle w:val="BodyText"/>
        <w:numPr>
          <w:ilvl w:val="0"/>
          <w:numId w:val="10"/>
        </w:numPr>
        <w:spacing w:before="120" w:after="200"/>
      </w:pPr>
      <w:r w:rsidRPr="00594D9C">
        <w:rPr>
          <w:b/>
          <w:bCs/>
        </w:rPr>
        <w:lastRenderedPageBreak/>
        <w:t>Area for Improvement 2</w:t>
      </w:r>
      <w:r>
        <w:t xml:space="preserve">: </w:t>
      </w:r>
      <w:r w:rsidR="00CD013C">
        <w:t>A centralized tracking system for</w:t>
      </w:r>
      <w:r w:rsidR="00851022">
        <w:t xml:space="preserve"> planning, </w:t>
      </w:r>
      <w:r w:rsidR="00CD013C">
        <w:t>training</w:t>
      </w:r>
      <w:r w:rsidR="00851022">
        <w:t>, and exercises</w:t>
      </w:r>
      <w:r w:rsidR="007B70E6">
        <w:t xml:space="preserve"> </w:t>
      </w:r>
      <w:r w:rsidR="00CD013C">
        <w:t>was identified a</w:t>
      </w:r>
      <w:r w:rsidR="003A063E">
        <w:t xml:space="preserve">s potentially being helpful for coordinating training needs across the region. </w:t>
      </w:r>
    </w:p>
    <w:p w14:paraId="5B35C04D" w14:textId="5289A363" w:rsidR="007B70E6" w:rsidRDefault="007B70E6" w:rsidP="00BF2534">
      <w:pPr>
        <w:pStyle w:val="BodyText"/>
        <w:numPr>
          <w:ilvl w:val="0"/>
          <w:numId w:val="10"/>
        </w:numPr>
        <w:spacing w:before="120" w:after="200"/>
      </w:pPr>
      <w:r w:rsidRPr="00594D9C">
        <w:rPr>
          <w:b/>
          <w:bCs/>
        </w:rPr>
        <w:t xml:space="preserve">Area for Improvement </w:t>
      </w:r>
      <w:r>
        <w:rPr>
          <w:b/>
          <w:bCs/>
        </w:rPr>
        <w:t>3</w:t>
      </w:r>
      <w:r>
        <w:t>: A</w:t>
      </w:r>
      <w:r>
        <w:t xml:space="preserve"> regional Coalition response plan should reference local response plans and establish procedures for situational awareness gathering and sharing at a regional level. </w:t>
      </w:r>
    </w:p>
    <w:p w14:paraId="1A9D070C" w14:textId="488F6082" w:rsidR="002A2224" w:rsidRDefault="002A2224" w:rsidP="000547D1">
      <w:pPr>
        <w:pStyle w:val="Heading4"/>
        <w:rPr>
          <w:b w:val="0"/>
          <w:bCs w:val="0"/>
          <w:color w:val="auto"/>
        </w:rPr>
      </w:pPr>
      <w:r w:rsidRPr="00364EE0">
        <w:rPr>
          <w:rStyle w:val="Heading4Char"/>
          <w:b/>
          <w:bCs/>
          <w:iCs/>
        </w:rPr>
        <w:t>Analysis of Objective:</w:t>
      </w:r>
      <w:r w:rsidRPr="00364EE0">
        <w:t xml:space="preserve"> </w:t>
      </w:r>
      <w:r w:rsidR="00BB3CF2">
        <w:rPr>
          <w:b w:val="0"/>
          <w:bCs w:val="0"/>
          <w:color w:val="auto"/>
        </w:rPr>
        <w:t>Agencies were able to leverage pre-planning efforts to support response to the COVID-19 incident</w:t>
      </w:r>
      <w:r w:rsidR="00BE7ABE">
        <w:rPr>
          <w:b w:val="0"/>
          <w:bCs w:val="0"/>
          <w:color w:val="auto"/>
        </w:rPr>
        <w:t xml:space="preserve">. Additional and continual planning needs were identified for future consideration. Many respondents </w:t>
      </w:r>
      <w:r w:rsidR="00D15F70">
        <w:rPr>
          <w:b w:val="0"/>
          <w:bCs w:val="0"/>
          <w:color w:val="auto"/>
        </w:rPr>
        <w:t xml:space="preserve">referenced the need for a regional effort to clarify the </w:t>
      </w:r>
      <w:r w:rsidR="00865CDA">
        <w:rPr>
          <w:b w:val="0"/>
          <w:bCs w:val="0"/>
          <w:color w:val="auto"/>
        </w:rPr>
        <w:t>delineation</w:t>
      </w:r>
      <w:r w:rsidR="00D15F70">
        <w:rPr>
          <w:b w:val="0"/>
          <w:bCs w:val="0"/>
          <w:color w:val="auto"/>
        </w:rPr>
        <w:t xml:space="preserve"> of roles among agencies, local public health, local emergency management, ESF-8 groups, and the regional Health Care Coalition</w:t>
      </w:r>
      <w:r w:rsidR="00A751E2">
        <w:rPr>
          <w:b w:val="0"/>
          <w:bCs w:val="0"/>
          <w:color w:val="auto"/>
        </w:rPr>
        <w:t xml:space="preserve"> (local HCC groups / Regional HCC)</w:t>
      </w:r>
      <w:r w:rsidR="00126494">
        <w:rPr>
          <w:b w:val="0"/>
          <w:bCs w:val="0"/>
          <w:color w:val="auto"/>
        </w:rPr>
        <w:t>.</w:t>
      </w:r>
    </w:p>
    <w:p w14:paraId="5E4114C9" w14:textId="38F2D771" w:rsidR="003001E6" w:rsidRPr="00627148" w:rsidRDefault="003001E6" w:rsidP="00536387">
      <w:pPr>
        <w:pStyle w:val="Heading3"/>
        <w:spacing w:before="360"/>
      </w:pPr>
      <w:r>
        <w:t xml:space="preserve">Objective </w:t>
      </w:r>
      <w:r w:rsidR="00371951">
        <w:t>2</w:t>
      </w:r>
      <w:r>
        <w:t xml:space="preserve">: </w:t>
      </w:r>
      <w:r w:rsidR="00371951">
        <w:t>Utilize Information Sharing Procedures and Platforms</w:t>
      </w:r>
    </w:p>
    <w:p w14:paraId="01C74687" w14:textId="77777777" w:rsidR="003001E6" w:rsidRPr="009F32B5" w:rsidRDefault="003001E6" w:rsidP="00AC3E59">
      <w:pPr>
        <w:pStyle w:val="Heading4"/>
        <w:spacing w:after="120"/>
      </w:pPr>
      <w:r w:rsidRPr="00AF31A5">
        <w:t>Strengths</w:t>
      </w:r>
    </w:p>
    <w:p w14:paraId="54E964E9" w14:textId="012A9595" w:rsidR="003001E6" w:rsidRDefault="003001E6" w:rsidP="00BF2534">
      <w:pPr>
        <w:pStyle w:val="BodyText"/>
        <w:numPr>
          <w:ilvl w:val="0"/>
          <w:numId w:val="3"/>
        </w:numPr>
        <w:spacing w:after="120"/>
      </w:pPr>
      <w:r w:rsidRPr="00771CC6">
        <w:rPr>
          <w:b/>
          <w:bCs/>
        </w:rPr>
        <w:t>Strength 1</w:t>
      </w:r>
      <w:r w:rsidR="00371951">
        <w:t xml:space="preserve">: </w:t>
      </w:r>
      <w:r w:rsidR="007F011E">
        <w:t xml:space="preserve">Local ESF-8 groups </w:t>
      </w:r>
      <w:r w:rsidR="00DB088A">
        <w:t xml:space="preserve">and the NERHCC </w:t>
      </w:r>
      <w:r w:rsidR="007F011E">
        <w:t xml:space="preserve">conducted </w:t>
      </w:r>
      <w:r w:rsidR="00DB088A">
        <w:t>regular virtual</w:t>
      </w:r>
      <w:r w:rsidR="007F011E">
        <w:t xml:space="preserve"> meetings </w:t>
      </w:r>
      <w:r w:rsidR="00DB088A">
        <w:t>which</w:t>
      </w:r>
      <w:r w:rsidR="007F011E">
        <w:t xml:space="preserve"> provided </w:t>
      </w:r>
      <w:r w:rsidR="00DB088A">
        <w:t xml:space="preserve">a </w:t>
      </w:r>
      <w:r w:rsidR="007F011E">
        <w:t xml:space="preserve">valuable </w:t>
      </w:r>
      <w:r w:rsidR="00DB088A">
        <w:t xml:space="preserve">means of </w:t>
      </w:r>
      <w:r w:rsidR="007F011E">
        <w:t>information</w:t>
      </w:r>
      <w:r w:rsidR="00DB088A">
        <w:t xml:space="preserve"> sharing.</w:t>
      </w:r>
    </w:p>
    <w:p w14:paraId="59B92349" w14:textId="1CF9F697" w:rsidR="00887129" w:rsidRDefault="00EA35CF" w:rsidP="00BF2534">
      <w:pPr>
        <w:pStyle w:val="BodyText"/>
        <w:numPr>
          <w:ilvl w:val="0"/>
          <w:numId w:val="3"/>
        </w:numPr>
        <w:spacing w:after="120"/>
      </w:pPr>
      <w:r>
        <w:rPr>
          <w:b/>
          <w:bCs/>
        </w:rPr>
        <w:t>Strength 2</w:t>
      </w:r>
      <w:r w:rsidRPr="00EA35CF">
        <w:t>:</w:t>
      </w:r>
      <w:r>
        <w:t xml:space="preserve"> NERHCC conference calls were helpful in integrating regional initiatives. </w:t>
      </w:r>
    </w:p>
    <w:p w14:paraId="56C0095C" w14:textId="0BCB4718" w:rsidR="009E7C2E" w:rsidRDefault="009E7C2E" w:rsidP="00BF2534">
      <w:pPr>
        <w:pStyle w:val="BodyText"/>
        <w:numPr>
          <w:ilvl w:val="0"/>
          <w:numId w:val="3"/>
        </w:numPr>
        <w:spacing w:after="120"/>
      </w:pPr>
      <w:r w:rsidRPr="00771CC6">
        <w:rPr>
          <w:b/>
          <w:bCs/>
        </w:rPr>
        <w:t xml:space="preserve">Strength </w:t>
      </w:r>
      <w:r w:rsidR="00EA35CF">
        <w:rPr>
          <w:b/>
          <w:bCs/>
        </w:rPr>
        <w:t>3</w:t>
      </w:r>
      <w:r>
        <w:t xml:space="preserve">: </w:t>
      </w:r>
      <w:r w:rsidR="00B87F31">
        <w:t>Daily email updates and situation reports from the Norther Colorado Health District</w:t>
      </w:r>
      <w:r w:rsidR="00887129">
        <w:t xml:space="preserve"> and the </w:t>
      </w:r>
      <w:r w:rsidR="00B87F31">
        <w:t>Colorado Department of Emergency Management and Homeland Security</w:t>
      </w:r>
      <w:r w:rsidR="00887129">
        <w:t xml:space="preserve"> were helpful in staying up to date on statewide events. </w:t>
      </w:r>
    </w:p>
    <w:p w14:paraId="3E1161C8" w14:textId="2D196AA3" w:rsidR="00761845" w:rsidRDefault="00761845" w:rsidP="00BF2534">
      <w:pPr>
        <w:pStyle w:val="BodyText"/>
        <w:numPr>
          <w:ilvl w:val="0"/>
          <w:numId w:val="3"/>
        </w:numPr>
        <w:spacing w:after="120"/>
      </w:pPr>
      <w:r w:rsidRPr="00771CC6">
        <w:rPr>
          <w:b/>
          <w:bCs/>
        </w:rPr>
        <w:t xml:space="preserve">Strength </w:t>
      </w:r>
      <w:r w:rsidR="00EA35CF">
        <w:rPr>
          <w:b/>
          <w:bCs/>
        </w:rPr>
        <w:t>4</w:t>
      </w:r>
      <w:r>
        <w:t xml:space="preserve">: Integration of </w:t>
      </w:r>
      <w:r w:rsidR="00446669">
        <w:t xml:space="preserve">public health agencies, ESF-8 groups, and Health Care Coalitions was helpful in </w:t>
      </w:r>
      <w:r w:rsidR="00B87F31">
        <w:t xml:space="preserve">bringing partners together and serving as a means of information sharing. </w:t>
      </w:r>
    </w:p>
    <w:p w14:paraId="7399692A" w14:textId="3DFBC211" w:rsidR="00446669" w:rsidRDefault="00446669" w:rsidP="00BF2534">
      <w:pPr>
        <w:pStyle w:val="BodyText"/>
        <w:numPr>
          <w:ilvl w:val="0"/>
          <w:numId w:val="3"/>
        </w:numPr>
        <w:spacing w:after="120"/>
      </w:pPr>
      <w:r w:rsidRPr="00771CC6">
        <w:rPr>
          <w:b/>
          <w:bCs/>
        </w:rPr>
        <w:t xml:space="preserve">Strength </w:t>
      </w:r>
      <w:r w:rsidR="00EA35CF">
        <w:rPr>
          <w:b/>
          <w:bCs/>
        </w:rPr>
        <w:t>5</w:t>
      </w:r>
      <w:r>
        <w:t xml:space="preserve">: Websites and social media were used to share the latest information with the public. </w:t>
      </w:r>
    </w:p>
    <w:p w14:paraId="2F67741E" w14:textId="7E6439FE" w:rsidR="00BE7AD1" w:rsidRDefault="00BE7AD1" w:rsidP="00BF2534">
      <w:pPr>
        <w:pStyle w:val="BodyText"/>
        <w:numPr>
          <w:ilvl w:val="0"/>
          <w:numId w:val="3"/>
        </w:numPr>
        <w:spacing w:after="120"/>
      </w:pPr>
      <w:r w:rsidRPr="00771CC6">
        <w:rPr>
          <w:b/>
          <w:bCs/>
        </w:rPr>
        <w:t xml:space="preserve">Strength </w:t>
      </w:r>
      <w:r w:rsidR="00EA35CF">
        <w:rPr>
          <w:b/>
          <w:bCs/>
        </w:rPr>
        <w:t>6</w:t>
      </w:r>
      <w:r>
        <w:t xml:space="preserve">: The use of </w:t>
      </w:r>
      <w:proofErr w:type="spellStart"/>
      <w:r>
        <w:t>EMResource</w:t>
      </w:r>
      <w:proofErr w:type="spellEnd"/>
      <w:r>
        <w:t xml:space="preserve"> was helpful in tracking resources across hospitals. </w:t>
      </w:r>
    </w:p>
    <w:p w14:paraId="2965CD0F" w14:textId="77777777" w:rsidR="003001E6" w:rsidRPr="00AF31A5" w:rsidRDefault="003001E6" w:rsidP="00AC3E59">
      <w:pPr>
        <w:pStyle w:val="Heading4"/>
        <w:spacing w:after="120"/>
      </w:pPr>
      <w:r w:rsidRPr="00AF31A5">
        <w:t>Areas for Improvement</w:t>
      </w:r>
    </w:p>
    <w:p w14:paraId="2D6C7533" w14:textId="3E8CE20F" w:rsidR="008318B2" w:rsidRDefault="008318B2" w:rsidP="00BF2534">
      <w:pPr>
        <w:pStyle w:val="BodyText"/>
        <w:numPr>
          <w:ilvl w:val="0"/>
          <w:numId w:val="4"/>
        </w:numPr>
        <w:spacing w:after="120"/>
      </w:pPr>
      <w:r>
        <w:rPr>
          <w:b/>
          <w:bCs/>
        </w:rPr>
        <w:t>Area for Improvement 1</w:t>
      </w:r>
      <w:r w:rsidRPr="007324C6">
        <w:t>:</w:t>
      </w:r>
      <w:r>
        <w:t xml:space="preserve"> Frequent reporting and documentation was required across multiple systems and platforms, which was time consuming. Methods cited include</w:t>
      </w:r>
      <w:r w:rsidR="005A3005">
        <w:t xml:space="preserve"> the </w:t>
      </w:r>
      <w:r>
        <w:t>213</w:t>
      </w:r>
      <w:r w:rsidR="005A3005">
        <w:t xml:space="preserve">RR, </w:t>
      </w:r>
      <w:proofErr w:type="spellStart"/>
      <w:r>
        <w:t>WebEOC</w:t>
      </w:r>
      <w:proofErr w:type="spellEnd"/>
      <w:r w:rsidR="005A3005">
        <w:t xml:space="preserve">, </w:t>
      </w:r>
      <w:proofErr w:type="spellStart"/>
      <w:r w:rsidR="005A3005">
        <w:t>EMResource</w:t>
      </w:r>
      <w:proofErr w:type="spellEnd"/>
      <w:r w:rsidR="005A3005">
        <w:t>, and the</w:t>
      </w:r>
      <w:r>
        <w:t xml:space="preserve"> Infection Prevention surveys. </w:t>
      </w:r>
      <w:r w:rsidR="00A751E2">
        <w:t xml:space="preserve">Some agencies were not familiar with these systems / tools which made it more difficult. </w:t>
      </w:r>
    </w:p>
    <w:p w14:paraId="41788134" w14:textId="212830F1" w:rsidR="003001E6" w:rsidRDefault="003001E6" w:rsidP="00BF2534">
      <w:pPr>
        <w:pStyle w:val="BodyText"/>
        <w:numPr>
          <w:ilvl w:val="0"/>
          <w:numId w:val="4"/>
        </w:numPr>
        <w:spacing w:after="120"/>
      </w:pPr>
      <w:r w:rsidRPr="00C93F4B">
        <w:rPr>
          <w:b/>
          <w:bCs/>
        </w:rPr>
        <w:t xml:space="preserve">Area for improvement </w:t>
      </w:r>
      <w:r w:rsidR="008318B2">
        <w:rPr>
          <w:b/>
          <w:bCs/>
        </w:rPr>
        <w:t>2</w:t>
      </w:r>
      <w:r w:rsidR="00371951">
        <w:t xml:space="preserve">: </w:t>
      </w:r>
      <w:r w:rsidR="00EA35CF">
        <w:t>The p</w:t>
      </w:r>
      <w:r w:rsidR="00C93F4B">
        <w:t xml:space="preserve">rimary form of communication with staff transitioned </w:t>
      </w:r>
      <w:r w:rsidR="00EA35CF">
        <w:t xml:space="preserve">from in-person meetings to </w:t>
      </w:r>
      <w:r w:rsidR="00C93F4B">
        <w:t>text and emai</w:t>
      </w:r>
      <w:r w:rsidR="00EA35CF">
        <w:t xml:space="preserve">l, which posed challenges </w:t>
      </w:r>
      <w:r w:rsidR="008318B2">
        <w:t xml:space="preserve">in information exchange. </w:t>
      </w:r>
    </w:p>
    <w:p w14:paraId="30ED046A" w14:textId="4EC712B9" w:rsidR="00C93F4B" w:rsidRDefault="00C93F4B" w:rsidP="00BF2534">
      <w:pPr>
        <w:pStyle w:val="BodyText"/>
        <w:numPr>
          <w:ilvl w:val="0"/>
          <w:numId w:val="4"/>
        </w:numPr>
        <w:spacing w:after="120"/>
      </w:pPr>
      <w:r>
        <w:rPr>
          <w:b/>
          <w:bCs/>
        </w:rPr>
        <w:t xml:space="preserve">Area for Improvement </w:t>
      </w:r>
      <w:r w:rsidR="008318B2">
        <w:rPr>
          <w:b/>
          <w:bCs/>
        </w:rPr>
        <w:t>3</w:t>
      </w:r>
      <w:r w:rsidRPr="00C93F4B">
        <w:t>:</w:t>
      </w:r>
      <w:r>
        <w:t xml:space="preserve"> Telephone systems had to be modified </w:t>
      </w:r>
      <w:r w:rsidR="008318B2">
        <w:t>due to</w:t>
      </w:r>
      <w:r>
        <w:t xml:space="preserve"> excess call volumes. </w:t>
      </w:r>
      <w:r w:rsidR="00126494">
        <w:t xml:space="preserve">Need to establish plans for this ahead of time. </w:t>
      </w:r>
    </w:p>
    <w:p w14:paraId="19EAF6C9" w14:textId="0A12006A" w:rsidR="00C93F4B" w:rsidRDefault="00C93F4B" w:rsidP="00BF2534">
      <w:pPr>
        <w:pStyle w:val="BodyText"/>
        <w:numPr>
          <w:ilvl w:val="0"/>
          <w:numId w:val="4"/>
        </w:numPr>
        <w:spacing w:after="120"/>
      </w:pPr>
      <w:r>
        <w:rPr>
          <w:b/>
          <w:bCs/>
        </w:rPr>
        <w:t xml:space="preserve">Area for Improvement </w:t>
      </w:r>
      <w:r w:rsidR="008318B2">
        <w:rPr>
          <w:b/>
          <w:bCs/>
        </w:rPr>
        <w:t>4</w:t>
      </w:r>
      <w:r w:rsidRPr="00C93F4B">
        <w:t>:</w:t>
      </w:r>
      <w:r>
        <w:t xml:space="preserve"> Multiple </w:t>
      </w:r>
      <w:r w:rsidR="00865CDA">
        <w:t>platforms</w:t>
      </w:r>
      <w:r>
        <w:t xml:space="preserve"> were used for meetings, which led to challenges due to a learning curve </w:t>
      </w:r>
      <w:r w:rsidR="00A8245A">
        <w:t xml:space="preserve">of new </w:t>
      </w:r>
      <w:r w:rsidR="00D362AF">
        <w:t>technology</w:t>
      </w:r>
      <w:r w:rsidR="00A8245A">
        <w:t xml:space="preserve"> </w:t>
      </w:r>
      <w:r>
        <w:t xml:space="preserve">under stressful conditions. </w:t>
      </w:r>
    </w:p>
    <w:p w14:paraId="770EFE61" w14:textId="1A09C7E1" w:rsidR="00A751E2" w:rsidRDefault="00D7711F" w:rsidP="00D7711F">
      <w:pPr>
        <w:pStyle w:val="BodyText"/>
        <w:spacing w:before="200" w:after="240"/>
      </w:pPr>
      <w:r w:rsidRPr="00D362AF">
        <w:rPr>
          <w:rStyle w:val="Heading4Char"/>
        </w:rPr>
        <w:lastRenderedPageBreak/>
        <w:t>Analysis of Objective:</w:t>
      </w:r>
      <w:r w:rsidRPr="00AF31A5">
        <w:t xml:space="preserve"> </w:t>
      </w:r>
      <w:r w:rsidR="00355EA9">
        <w:t>Information sharing procedures and platforms</w:t>
      </w:r>
      <w:r w:rsidR="00BB0EC6">
        <w:t xml:space="preserve"> </w:t>
      </w:r>
      <w:r w:rsidR="00A2701D">
        <w:t xml:space="preserve">that were pre-developed, along with </w:t>
      </w:r>
      <w:r w:rsidR="00C41A62">
        <w:t xml:space="preserve">local and regional HCC groups </w:t>
      </w:r>
      <w:r w:rsidR="00A2701D">
        <w:t xml:space="preserve">were helpful in </w:t>
      </w:r>
      <w:r w:rsidR="00C41A62">
        <w:t xml:space="preserve">connecting partner agencies and </w:t>
      </w:r>
      <w:r w:rsidR="00076712">
        <w:t xml:space="preserve">supporting </w:t>
      </w:r>
      <w:r w:rsidR="00C41A62">
        <w:t>information exchange</w:t>
      </w:r>
      <w:r w:rsidR="00507236">
        <w:t>.</w:t>
      </w:r>
      <w:r w:rsidR="00C41A62">
        <w:t xml:space="preserve"> </w:t>
      </w:r>
      <w:r w:rsidR="00076712">
        <w:t xml:space="preserve">Redundant reporting across multiple systems was widely reported as the most </w:t>
      </w:r>
      <w:r w:rsidR="00774B60">
        <w:t>time-consuming</w:t>
      </w:r>
      <w:r w:rsidR="00076712">
        <w:t xml:space="preserve"> challenge. Fu</w:t>
      </w:r>
      <w:r w:rsidR="00126494">
        <w:t>ture emphasis</w:t>
      </w:r>
      <w:r w:rsidR="00507236">
        <w:t xml:space="preserve"> should</w:t>
      </w:r>
      <w:r w:rsidR="00126494">
        <w:t xml:space="preserve"> be placed on</w:t>
      </w:r>
      <w:r w:rsidR="00507236">
        <w:t xml:space="preserve"> consider</w:t>
      </w:r>
      <w:r w:rsidR="00126494">
        <w:t>ing</w:t>
      </w:r>
      <w:r w:rsidR="00507236">
        <w:t xml:space="preserve"> </w:t>
      </w:r>
      <w:r w:rsidR="004C6D1D">
        <w:t>how to</w:t>
      </w:r>
      <w:r w:rsidR="00126494">
        <w:t xml:space="preserve"> compile an</w:t>
      </w:r>
      <w:r w:rsidR="004C6D1D">
        <w:t xml:space="preserve">d </w:t>
      </w:r>
      <w:r w:rsidR="00126494">
        <w:t xml:space="preserve">share </w:t>
      </w:r>
      <w:r w:rsidR="004C6D1D">
        <w:t>data across multiple platforms.</w:t>
      </w:r>
      <w:r w:rsidR="00A751E2">
        <w:t xml:space="preserve"> Training and exercise opportunities to test and learn these systems would be beneficial for future response.</w:t>
      </w:r>
    </w:p>
    <w:p w14:paraId="21FFBBE8" w14:textId="1D90A660" w:rsidR="003001E6" w:rsidRPr="00ED76A7" w:rsidRDefault="003001E6" w:rsidP="00536387">
      <w:pPr>
        <w:pStyle w:val="Heading3"/>
        <w:spacing w:before="360"/>
      </w:pPr>
      <w:r>
        <w:t xml:space="preserve">Objective </w:t>
      </w:r>
      <w:r w:rsidR="00371951">
        <w:t>3</w:t>
      </w:r>
      <w:r>
        <w:t>:</w:t>
      </w:r>
      <w:r w:rsidRPr="00ED76A7">
        <w:t xml:space="preserve"> </w:t>
      </w:r>
      <w:r w:rsidR="00371951" w:rsidRPr="00371951">
        <w:t>Coordinate Response Strategy, Resources, and Communications</w:t>
      </w:r>
    </w:p>
    <w:p w14:paraId="6AD878D0" w14:textId="77777777" w:rsidR="003001E6" w:rsidRPr="00AF31A5" w:rsidRDefault="003001E6" w:rsidP="00AC3E59">
      <w:pPr>
        <w:pStyle w:val="Heading4"/>
        <w:spacing w:after="120"/>
      </w:pPr>
      <w:r w:rsidRPr="00AF31A5">
        <w:t>Strengths</w:t>
      </w:r>
    </w:p>
    <w:p w14:paraId="0D9FB2FC" w14:textId="6CA6E85B" w:rsidR="003001E6" w:rsidRDefault="003001E6" w:rsidP="00BF2534">
      <w:pPr>
        <w:pStyle w:val="BodyText"/>
        <w:numPr>
          <w:ilvl w:val="0"/>
          <w:numId w:val="11"/>
        </w:numPr>
        <w:spacing w:after="120"/>
      </w:pPr>
      <w:r w:rsidRPr="004C6D1D">
        <w:rPr>
          <w:b/>
          <w:bCs/>
        </w:rPr>
        <w:t>Strength 1</w:t>
      </w:r>
      <w:r w:rsidR="00085A11">
        <w:t xml:space="preserve">: Excellent coordination, communication, and working relationships among agencies. </w:t>
      </w:r>
      <w:r w:rsidR="00EC50B4">
        <w:t xml:space="preserve">Pre-established relationships were essential in optimizing information </w:t>
      </w:r>
      <w:r w:rsidR="00F91569">
        <w:t xml:space="preserve">and resource sharing. Teamwork and </w:t>
      </w:r>
      <w:r w:rsidR="003C7C29">
        <w:t>adaptability were referenced as a regional strength. Integration occurred through regular emails, conference calls</w:t>
      </w:r>
      <w:r w:rsidR="0059089F">
        <w:t>, and</w:t>
      </w:r>
      <w:r w:rsidR="003C7C29">
        <w:t xml:space="preserve"> virtual</w:t>
      </w:r>
      <w:r w:rsidR="0059089F">
        <w:t xml:space="preserve"> </w:t>
      </w:r>
      <w:r w:rsidR="003C7C29">
        <w:t>meetings</w:t>
      </w:r>
      <w:r w:rsidR="0059089F">
        <w:t xml:space="preserve">. </w:t>
      </w:r>
    </w:p>
    <w:p w14:paraId="7B226263" w14:textId="7CCB0F56" w:rsidR="00757D53" w:rsidRDefault="003001E6" w:rsidP="00BF2534">
      <w:pPr>
        <w:pStyle w:val="BodyText"/>
        <w:numPr>
          <w:ilvl w:val="0"/>
          <w:numId w:val="11"/>
        </w:numPr>
        <w:spacing w:after="120"/>
      </w:pPr>
      <w:r w:rsidRPr="004C6D1D">
        <w:rPr>
          <w:b/>
          <w:bCs/>
        </w:rPr>
        <w:t>Strength 2</w:t>
      </w:r>
      <w:r w:rsidR="00085A11">
        <w:t xml:space="preserve">: Early, transparent, and regular </w:t>
      </w:r>
      <w:r w:rsidR="00B01924">
        <w:t>updates by H</w:t>
      </w:r>
      <w:r w:rsidR="00085A11">
        <w:t>ealth</w:t>
      </w:r>
      <w:r w:rsidR="00B01924">
        <w:t xml:space="preserve"> C</w:t>
      </w:r>
      <w:r w:rsidR="00085A11">
        <w:t xml:space="preserve">are </w:t>
      </w:r>
      <w:r w:rsidR="00B01924">
        <w:t>C</w:t>
      </w:r>
      <w:r w:rsidR="00085A11">
        <w:t>oalition</w:t>
      </w:r>
      <w:r w:rsidR="00B01924">
        <w:t xml:space="preserve">s, local public </w:t>
      </w:r>
      <w:r w:rsidR="00865CDA">
        <w:t>health,</w:t>
      </w:r>
      <w:r w:rsidR="00B01924">
        <w:t xml:space="preserve"> and emergency management across the region</w:t>
      </w:r>
      <w:r w:rsidR="00085A11">
        <w:t xml:space="preserve">s. </w:t>
      </w:r>
      <w:r w:rsidR="00B01924">
        <w:t xml:space="preserve">Supported maintaining a common operating picture and keeping leaders and elected officials informed. </w:t>
      </w:r>
    </w:p>
    <w:p w14:paraId="266C8B3B" w14:textId="2B5DCF1A" w:rsidR="002B03A6" w:rsidRDefault="00085A11" w:rsidP="00BF2534">
      <w:pPr>
        <w:pStyle w:val="BodyText"/>
        <w:numPr>
          <w:ilvl w:val="0"/>
          <w:numId w:val="11"/>
        </w:numPr>
        <w:spacing w:after="120"/>
      </w:pPr>
      <w:r w:rsidRPr="004C6D1D">
        <w:rPr>
          <w:b/>
          <w:bCs/>
        </w:rPr>
        <w:t>Strength 3</w:t>
      </w:r>
      <w:r>
        <w:t xml:space="preserve">: </w:t>
      </w:r>
      <w:r w:rsidR="002B03A6" w:rsidRPr="00085A11">
        <w:t>Leadership across departmental, local, and regional organizations were cited by as a strength and essential in limiting the spread of COVID-19.</w:t>
      </w:r>
      <w:r w:rsidR="002B03A6">
        <w:t xml:space="preserve"> </w:t>
      </w:r>
    </w:p>
    <w:p w14:paraId="1A7EE36F" w14:textId="47091CD6" w:rsidR="00334B15" w:rsidRDefault="00334B15" w:rsidP="00BF2534">
      <w:pPr>
        <w:pStyle w:val="BodyText"/>
        <w:numPr>
          <w:ilvl w:val="0"/>
          <w:numId w:val="11"/>
        </w:numPr>
        <w:spacing w:after="120"/>
      </w:pPr>
      <w:r w:rsidRPr="004C6D1D">
        <w:rPr>
          <w:b/>
          <w:bCs/>
        </w:rPr>
        <w:t xml:space="preserve">Strength </w:t>
      </w:r>
      <w:r w:rsidR="00ED4176">
        <w:rPr>
          <w:b/>
          <w:bCs/>
        </w:rPr>
        <w:t>4</w:t>
      </w:r>
      <w:r>
        <w:t xml:space="preserve">: </w:t>
      </w:r>
      <w:r w:rsidR="0059089F">
        <w:t xml:space="preserve">Resource </w:t>
      </w:r>
      <w:r w:rsidR="00865CDA">
        <w:t>ordering</w:t>
      </w:r>
      <w:r w:rsidR="00757D53">
        <w:t xml:space="preserve"> process was successfu</w:t>
      </w:r>
      <w:r w:rsidR="0059089F">
        <w:t xml:space="preserve">l </w:t>
      </w:r>
      <w:r w:rsidR="00757D53">
        <w:t xml:space="preserve">from </w:t>
      </w:r>
      <w:r w:rsidR="0059089F">
        <w:t xml:space="preserve">the </w:t>
      </w:r>
      <w:r w:rsidR="00757D53">
        <w:t>county</w:t>
      </w:r>
      <w:r w:rsidR="0059089F">
        <w:t xml:space="preserve"> level, </w:t>
      </w:r>
      <w:r w:rsidR="00757D53">
        <w:t xml:space="preserve">but fulfillment </w:t>
      </w:r>
      <w:r w:rsidR="0059089F">
        <w:t xml:space="preserve">of orders was difficult due to a global shortage of supplies. </w:t>
      </w:r>
    </w:p>
    <w:p w14:paraId="79660AFA" w14:textId="030D0436" w:rsidR="00953FE2" w:rsidRDefault="00953FE2" w:rsidP="00BF2534">
      <w:pPr>
        <w:pStyle w:val="BodyText"/>
        <w:numPr>
          <w:ilvl w:val="0"/>
          <w:numId w:val="11"/>
        </w:numPr>
        <w:spacing w:after="120"/>
      </w:pPr>
      <w:r w:rsidRPr="004C6D1D">
        <w:rPr>
          <w:b/>
          <w:bCs/>
        </w:rPr>
        <w:t xml:space="preserve">Strength </w:t>
      </w:r>
      <w:r w:rsidR="00ED4176">
        <w:rPr>
          <w:b/>
          <w:bCs/>
        </w:rPr>
        <w:t>5</w:t>
      </w:r>
      <w:r>
        <w:t xml:space="preserve">: </w:t>
      </w:r>
      <w:r w:rsidR="00757D53">
        <w:t xml:space="preserve">Regular communication </w:t>
      </w:r>
      <w:r w:rsidR="0059089F">
        <w:t>among</w:t>
      </w:r>
      <w:r w:rsidR="00757D53">
        <w:t xml:space="preserve"> first responders, emergency management, public health, behavioral health, coroner</w:t>
      </w:r>
      <w:r w:rsidR="0059089F">
        <w:t>s, and HCC’s</w:t>
      </w:r>
      <w:r w:rsidR="00540887">
        <w:t xml:space="preserve"> were helpful in continued coordination of response strategies. </w:t>
      </w:r>
    </w:p>
    <w:p w14:paraId="6DF71A81" w14:textId="03AA5BE2" w:rsidR="00955BC5" w:rsidRDefault="00DD0DA6" w:rsidP="00BF2534">
      <w:pPr>
        <w:pStyle w:val="BodyText"/>
        <w:numPr>
          <w:ilvl w:val="0"/>
          <w:numId w:val="11"/>
        </w:numPr>
        <w:spacing w:after="120"/>
      </w:pPr>
      <w:r w:rsidRPr="00955BC5">
        <w:rPr>
          <w:b/>
          <w:bCs/>
        </w:rPr>
        <w:t xml:space="preserve">Strength </w:t>
      </w:r>
      <w:r w:rsidR="00ED4176">
        <w:rPr>
          <w:b/>
          <w:bCs/>
        </w:rPr>
        <w:t>6</w:t>
      </w:r>
      <w:r>
        <w:t xml:space="preserve">: </w:t>
      </w:r>
      <w:r w:rsidR="00955BC5">
        <w:t>Standard knowledge of Hospital Incident Command System (HICS)</w:t>
      </w:r>
      <w:r w:rsidR="00540887">
        <w:t xml:space="preserve"> supported standard operations across the region. </w:t>
      </w:r>
    </w:p>
    <w:p w14:paraId="06D2C6E7" w14:textId="6D5398A7" w:rsidR="00955BC5" w:rsidRDefault="00DD0DA6" w:rsidP="00BF2534">
      <w:pPr>
        <w:pStyle w:val="BodyText"/>
        <w:numPr>
          <w:ilvl w:val="0"/>
          <w:numId w:val="11"/>
        </w:numPr>
        <w:spacing w:after="120"/>
      </w:pPr>
      <w:r w:rsidRPr="004C6D1D">
        <w:rPr>
          <w:b/>
          <w:bCs/>
        </w:rPr>
        <w:t xml:space="preserve">Strength </w:t>
      </w:r>
      <w:r w:rsidR="00ED4176">
        <w:rPr>
          <w:b/>
          <w:bCs/>
        </w:rPr>
        <w:t>7</w:t>
      </w:r>
      <w:r>
        <w:t xml:space="preserve">: </w:t>
      </w:r>
      <w:r w:rsidR="00955BC5">
        <w:t>Coordinated response of EMS with other RETAC across Colorado</w:t>
      </w:r>
      <w:r w:rsidR="00540887">
        <w:t xml:space="preserve"> supported implementation of best practices and a statewide standard</w:t>
      </w:r>
      <w:r w:rsidR="00955BC5">
        <w:t xml:space="preserve">. </w:t>
      </w:r>
    </w:p>
    <w:p w14:paraId="616F2E20" w14:textId="77777777" w:rsidR="003001E6" w:rsidRPr="00AF31A5" w:rsidRDefault="003001E6" w:rsidP="00AC3E59">
      <w:pPr>
        <w:pStyle w:val="Heading4"/>
        <w:spacing w:after="120"/>
      </w:pPr>
      <w:r w:rsidRPr="00AF31A5">
        <w:t>Areas for Improvement</w:t>
      </w:r>
    </w:p>
    <w:p w14:paraId="01496AE7" w14:textId="09BC1A35" w:rsidR="003001E6" w:rsidRDefault="00371951" w:rsidP="00BF2534">
      <w:pPr>
        <w:pStyle w:val="BodyText"/>
        <w:numPr>
          <w:ilvl w:val="0"/>
          <w:numId w:val="12"/>
        </w:numPr>
        <w:spacing w:after="120"/>
      </w:pPr>
      <w:r w:rsidRPr="00371951">
        <w:rPr>
          <w:b/>
          <w:bCs/>
        </w:rPr>
        <w:t>Area for Improvement 1</w:t>
      </w:r>
      <w:r>
        <w:t xml:space="preserve">: </w:t>
      </w:r>
      <w:r w:rsidR="00ED4176">
        <w:t>A r</w:t>
      </w:r>
      <w:r>
        <w:t>apidly changing situation contributed to communication issues</w:t>
      </w:r>
      <w:r w:rsidR="00ED4176">
        <w:t>,</w:t>
      </w:r>
      <w:r>
        <w:t xml:space="preserve"> and frequent updates fatigued staff. The amount of daily emails and meetings from a wide range of sources were referenced by many respondents as being difficult to </w:t>
      </w:r>
      <w:r w:rsidR="00865CDA">
        <w:t>coordinate</w:t>
      </w:r>
      <w:r w:rsidR="00C93F4B">
        <w:t xml:space="preserve"> and ensure that staff and public had the latest and most accurate guidance. </w:t>
      </w:r>
      <w:r>
        <w:t xml:space="preserve"> </w:t>
      </w:r>
    </w:p>
    <w:p w14:paraId="5CF60EC1" w14:textId="4D04D268" w:rsidR="00371951" w:rsidRDefault="00371951" w:rsidP="00BF2534">
      <w:pPr>
        <w:pStyle w:val="BodyText"/>
        <w:numPr>
          <w:ilvl w:val="0"/>
          <w:numId w:val="12"/>
        </w:numPr>
        <w:spacing w:after="120"/>
      </w:pPr>
      <w:r w:rsidRPr="00371951">
        <w:rPr>
          <w:b/>
          <w:bCs/>
        </w:rPr>
        <w:t>Area for Improvement 2</w:t>
      </w:r>
      <w:r>
        <w:t>: Communications and guidance were being provided by many sources from</w:t>
      </w:r>
      <w:r w:rsidR="00C93F4B">
        <w:t xml:space="preserve"> public health and emergency management in</w:t>
      </w:r>
      <w:r>
        <w:t xml:space="preserve"> the local, state, and federal levels.</w:t>
      </w:r>
      <w:r w:rsidR="00C93F4B">
        <w:t xml:space="preserve"> It was difficult for some respondents to navigate the guidance, which were conflicting </w:t>
      </w:r>
      <w:r w:rsidR="00A30126">
        <w:t xml:space="preserve">or had different interpretations </w:t>
      </w:r>
      <w:r w:rsidR="00C93F4B">
        <w:t xml:space="preserve">at times and led to confusion. </w:t>
      </w:r>
    </w:p>
    <w:p w14:paraId="0154CE61" w14:textId="0EDEAFFF" w:rsidR="00371951" w:rsidRDefault="00371951" w:rsidP="00BF2534">
      <w:pPr>
        <w:pStyle w:val="BodyText"/>
        <w:numPr>
          <w:ilvl w:val="0"/>
          <w:numId w:val="12"/>
        </w:numPr>
        <w:spacing w:after="120"/>
      </w:pPr>
      <w:r>
        <w:rPr>
          <w:b/>
          <w:bCs/>
        </w:rPr>
        <w:t>Area for Improvement 3</w:t>
      </w:r>
      <w:r w:rsidRPr="00371951">
        <w:t>:</w:t>
      </w:r>
      <w:r>
        <w:t xml:space="preserve"> </w:t>
      </w:r>
      <w:r w:rsidR="009C11F3">
        <w:t xml:space="preserve">Not all agencies coordinated with the </w:t>
      </w:r>
      <w:r>
        <w:t>Joint Information Center (JIC)</w:t>
      </w:r>
      <w:r w:rsidR="009C11F3">
        <w:t xml:space="preserve">, which led to </w:t>
      </w:r>
      <w:r w:rsidR="00C93F4B">
        <w:t>difficult</w:t>
      </w:r>
      <w:r w:rsidR="009C11F3">
        <w:t>ly in</w:t>
      </w:r>
      <w:r w:rsidR="00C93F4B">
        <w:t xml:space="preserve"> gather</w:t>
      </w:r>
      <w:r w:rsidR="009C11F3">
        <w:t>ing</w:t>
      </w:r>
      <w:r w:rsidR="00C93F4B">
        <w:t xml:space="preserve"> information from some partner agencies</w:t>
      </w:r>
      <w:r w:rsidR="009C11F3">
        <w:t xml:space="preserve">. </w:t>
      </w:r>
      <w:r w:rsidR="00C93F4B">
        <w:t xml:space="preserve"> </w:t>
      </w:r>
    </w:p>
    <w:p w14:paraId="6135B50D" w14:textId="0228BE87" w:rsidR="00C93F4B" w:rsidRDefault="00C93F4B" w:rsidP="00BF2534">
      <w:pPr>
        <w:pStyle w:val="BodyText"/>
        <w:numPr>
          <w:ilvl w:val="0"/>
          <w:numId w:val="12"/>
        </w:numPr>
        <w:spacing w:after="120"/>
      </w:pPr>
      <w:r>
        <w:rPr>
          <w:b/>
          <w:bCs/>
        </w:rPr>
        <w:lastRenderedPageBreak/>
        <w:t>Area for Improvement 4</w:t>
      </w:r>
      <w:r w:rsidRPr="00C93F4B">
        <w:t>:</w:t>
      </w:r>
      <w:r>
        <w:t xml:space="preserve"> </w:t>
      </w:r>
      <w:r w:rsidR="00984AB7">
        <w:t>Information that was being provided by elected officials and public health were not always consistent.</w:t>
      </w:r>
    </w:p>
    <w:p w14:paraId="635593F7" w14:textId="260F73D5" w:rsidR="00A30126" w:rsidRDefault="00A30126" w:rsidP="00BF2534">
      <w:pPr>
        <w:pStyle w:val="BodyText"/>
        <w:numPr>
          <w:ilvl w:val="0"/>
          <w:numId w:val="12"/>
        </w:numPr>
        <w:spacing w:after="120"/>
      </w:pPr>
      <w:r>
        <w:rPr>
          <w:b/>
          <w:bCs/>
        </w:rPr>
        <w:t>Area for Improvement 5</w:t>
      </w:r>
      <w:r w:rsidRPr="00A30126">
        <w:t>:</w:t>
      </w:r>
      <w:r>
        <w:t xml:space="preserve"> </w:t>
      </w:r>
      <w:r w:rsidR="00A12123">
        <w:t xml:space="preserve">Staffing challenges were experienced across many areas, including both agency response and supporting DOC/EOC operations. </w:t>
      </w:r>
    </w:p>
    <w:p w14:paraId="2E38F820" w14:textId="28B99D4D" w:rsidR="00E954C6" w:rsidRDefault="00E954C6" w:rsidP="00BF2534">
      <w:pPr>
        <w:pStyle w:val="BodyText"/>
        <w:numPr>
          <w:ilvl w:val="0"/>
          <w:numId w:val="12"/>
        </w:numPr>
        <w:spacing w:after="120"/>
      </w:pPr>
      <w:r>
        <w:rPr>
          <w:b/>
          <w:bCs/>
        </w:rPr>
        <w:t>Area for Improvement 6</w:t>
      </w:r>
      <w:r w:rsidRPr="00E954C6">
        <w:t>:</w:t>
      </w:r>
      <w:r>
        <w:t xml:space="preserve"> </w:t>
      </w:r>
      <w:r w:rsidR="002611C9">
        <w:t xml:space="preserve">The </w:t>
      </w:r>
      <w:r w:rsidR="00AC640F">
        <w:t xml:space="preserve">delineation of </w:t>
      </w:r>
      <w:r w:rsidR="002611C9">
        <w:t xml:space="preserve">roles and responsibilities of local HCC groups/ESF-8 groups, and </w:t>
      </w:r>
      <w:r w:rsidR="00AC640F">
        <w:t xml:space="preserve">the NERHCC was not understood by some respondents. </w:t>
      </w:r>
    </w:p>
    <w:p w14:paraId="1502BEF1" w14:textId="77777777" w:rsidR="00A751E2" w:rsidRDefault="003001E6" w:rsidP="00A751E2">
      <w:pPr>
        <w:pStyle w:val="BodyText"/>
        <w:spacing w:before="200" w:after="240"/>
      </w:pPr>
      <w:r w:rsidRPr="00AF31A5">
        <w:rPr>
          <w:rStyle w:val="Heading4Char"/>
          <w:u w:val="single"/>
        </w:rPr>
        <w:t>Analysis</w:t>
      </w:r>
      <w:r>
        <w:rPr>
          <w:rStyle w:val="Heading4Char"/>
          <w:u w:val="single"/>
        </w:rPr>
        <w:t xml:space="preserve"> of Objective</w:t>
      </w:r>
      <w:r w:rsidRPr="00AF31A5">
        <w:rPr>
          <w:rStyle w:val="Heading4Char"/>
          <w:u w:val="single"/>
        </w:rPr>
        <w:t>:</w:t>
      </w:r>
      <w:r w:rsidRPr="00AF31A5">
        <w:t xml:space="preserve"> </w:t>
      </w:r>
      <w:r w:rsidR="00AC640F">
        <w:t xml:space="preserve">Pre-existing relationships and partnerships were widely referenced as a </w:t>
      </w:r>
      <w:r w:rsidR="003D06F6">
        <w:t xml:space="preserve">primary strength of the response to COVID-19, which allowed for teamwork and creativity in adapting to challenges that arose. </w:t>
      </w:r>
    </w:p>
    <w:p w14:paraId="4E666DC9" w14:textId="01D5E7F1" w:rsidR="003001E6" w:rsidRDefault="003D06F6" w:rsidP="00536387">
      <w:pPr>
        <w:pStyle w:val="BodyText"/>
        <w:spacing w:before="200" w:after="480"/>
      </w:pPr>
      <w:r>
        <w:t xml:space="preserve">Further solidifying </w:t>
      </w:r>
      <w:r w:rsidR="008F0ACB">
        <w:t>roles</w:t>
      </w:r>
      <w:r w:rsidR="00E911C3">
        <w:t>, r</w:t>
      </w:r>
      <w:r w:rsidR="008F0ACB">
        <w:t>esponsibilities</w:t>
      </w:r>
      <w:r w:rsidR="00E911C3">
        <w:t>, and communication flows</w:t>
      </w:r>
      <w:r w:rsidR="008F0ACB">
        <w:t xml:space="preserve"> </w:t>
      </w:r>
      <w:r w:rsidR="00E911C3">
        <w:t>across</w:t>
      </w:r>
      <w:r w:rsidR="008F0ACB">
        <w:t xml:space="preserve"> agencies and HCC’s would provide </w:t>
      </w:r>
      <w:r w:rsidR="00E911C3">
        <w:t xml:space="preserve">for more clarity during initial response and limit redundancy.  </w:t>
      </w:r>
      <w:r w:rsidR="00A751E2">
        <w:t xml:space="preserve">Defining roles and responsibilities of local HCC groups and the Regional HCC will be imperative moving forward. </w:t>
      </w:r>
    </w:p>
    <w:tbl>
      <w:tblPr>
        <w:tblW w:w="9720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D154C" w:rsidRPr="00B51EF7" w14:paraId="457B0B5E" w14:textId="77777777" w:rsidTr="00E954C6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073CE071" w14:textId="554A9B49" w:rsidR="005D154C" w:rsidRPr="00F26D08" w:rsidRDefault="002218AA" w:rsidP="00227C26">
            <w:pPr>
              <w:pStyle w:val="Heading2"/>
            </w:pPr>
            <w:bookmarkStart w:id="7" w:name="_Toc43662143"/>
            <w:r w:rsidRPr="00A751E2">
              <w:rPr>
                <w:sz w:val="28"/>
                <w:szCs w:val="28"/>
              </w:rPr>
              <w:t>Capability 3 - Continuity of Health Care Service Delivery</w:t>
            </w:r>
            <w:bookmarkEnd w:id="7"/>
          </w:p>
        </w:tc>
      </w:tr>
      <w:tr w:rsidR="009C0334" w:rsidRPr="00B51EF7" w14:paraId="5932BC78" w14:textId="77777777" w:rsidTr="006D4477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CCB2AB8" w14:textId="07880CE3" w:rsidR="009C0334" w:rsidRDefault="009C0334" w:rsidP="000547D1">
            <w:pPr>
              <w:pStyle w:val="Heading6"/>
            </w:pPr>
            <w:r w:rsidRPr="00FB7FDF">
              <w:rPr>
                <w:b/>
                <w:bCs/>
              </w:rPr>
              <w:t xml:space="preserve">Public Health </w:t>
            </w:r>
            <w:r w:rsidR="00126494" w:rsidRPr="00FB7FDF">
              <w:rPr>
                <w:b/>
                <w:bCs/>
              </w:rPr>
              <w:t>Capabilit</w:t>
            </w:r>
            <w:r w:rsidR="00126494">
              <w:rPr>
                <w:b/>
                <w:bCs/>
              </w:rPr>
              <w:t>ies</w:t>
            </w:r>
            <w:r>
              <w:t xml:space="preserve">: </w:t>
            </w:r>
            <w:r w:rsidR="00813B5D" w:rsidRPr="006B53F5">
              <w:rPr>
                <w:color w:val="auto"/>
              </w:rPr>
              <w:t>7</w:t>
            </w:r>
            <w:r w:rsidR="00126494">
              <w:rPr>
                <w:color w:val="auto"/>
              </w:rPr>
              <w:t>.</w:t>
            </w:r>
            <w:r w:rsidR="00813B5D" w:rsidRPr="006B53F5">
              <w:rPr>
                <w:color w:val="auto"/>
              </w:rPr>
              <w:t xml:space="preserve"> Mass Care, 8</w:t>
            </w:r>
            <w:r w:rsidR="00126494">
              <w:rPr>
                <w:color w:val="auto"/>
              </w:rPr>
              <w:t xml:space="preserve">. </w:t>
            </w:r>
            <w:r w:rsidR="00813B5D" w:rsidRPr="006B53F5">
              <w:rPr>
                <w:color w:val="auto"/>
              </w:rPr>
              <w:t>Medical Countermeasure Dispensing and Administration, 9</w:t>
            </w:r>
            <w:r w:rsidR="00126494">
              <w:rPr>
                <w:color w:val="auto"/>
              </w:rPr>
              <w:t>.</w:t>
            </w:r>
            <w:r w:rsidR="00813B5D" w:rsidRPr="006B53F5">
              <w:rPr>
                <w:color w:val="auto"/>
              </w:rPr>
              <w:t xml:space="preserve"> Medical Materiel Management and Distribution</w:t>
            </w:r>
            <w:r w:rsidR="00FA2D35" w:rsidRPr="006B53F5">
              <w:rPr>
                <w:color w:val="auto"/>
              </w:rPr>
              <w:t>, 14</w:t>
            </w:r>
            <w:r w:rsidR="00126494">
              <w:rPr>
                <w:color w:val="auto"/>
              </w:rPr>
              <w:t>.</w:t>
            </w:r>
            <w:r w:rsidR="00FA2D35" w:rsidRPr="006B53F5">
              <w:rPr>
                <w:color w:val="auto"/>
              </w:rPr>
              <w:t xml:space="preserve"> Responder Safety and Health</w:t>
            </w:r>
          </w:p>
        </w:tc>
      </w:tr>
      <w:tr w:rsidR="009C0334" w:rsidRPr="002A3DFD" w14:paraId="38EA7349" w14:textId="77777777" w:rsidTr="006D4477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0C4CC9D" w14:textId="7E3F453D" w:rsidR="009C0334" w:rsidRDefault="009C0334" w:rsidP="000547D1">
            <w:pPr>
              <w:pStyle w:val="Heading6"/>
            </w:pPr>
            <w:r w:rsidRPr="00FB7FDF">
              <w:rPr>
                <w:b/>
                <w:bCs/>
              </w:rPr>
              <w:t>FEMA Core Capabilit</w:t>
            </w:r>
            <w:r w:rsidR="00126494">
              <w:rPr>
                <w:b/>
                <w:bCs/>
              </w:rPr>
              <w:t>ies</w:t>
            </w:r>
            <w:r>
              <w:t xml:space="preserve">: </w:t>
            </w:r>
            <w:r w:rsidR="00BD6EA9" w:rsidRPr="006B53F5">
              <w:rPr>
                <w:color w:val="auto"/>
              </w:rPr>
              <w:t>Logistics and Supply Chain Management, Supply Chain Integrity and Security</w:t>
            </w:r>
          </w:p>
        </w:tc>
      </w:tr>
    </w:tbl>
    <w:p w14:paraId="4B2AD0EA" w14:textId="2456D874" w:rsidR="003001E6" w:rsidRPr="00627148" w:rsidRDefault="003001E6" w:rsidP="00536387">
      <w:pPr>
        <w:pStyle w:val="Heading3"/>
        <w:spacing w:before="120"/>
      </w:pPr>
      <w:r>
        <w:t>Ob</w:t>
      </w:r>
      <w:r w:rsidR="00AC4707">
        <w:t>jective</w:t>
      </w:r>
      <w:r>
        <w:t xml:space="preserve"> </w:t>
      </w:r>
      <w:r w:rsidR="00A30126">
        <w:t>2</w:t>
      </w:r>
      <w:r>
        <w:t xml:space="preserve">: </w:t>
      </w:r>
      <w:r w:rsidR="00A30126" w:rsidRPr="00A30126">
        <w:t xml:space="preserve">Plan for </w:t>
      </w:r>
      <w:r w:rsidR="003D437B" w:rsidRPr="00A30126">
        <w:t>C</w:t>
      </w:r>
      <w:r w:rsidR="003D437B">
        <w:t>ontinuity of Operations (COOP)</w:t>
      </w:r>
    </w:p>
    <w:p w14:paraId="449D8C15" w14:textId="77777777" w:rsidR="003001E6" w:rsidRPr="009F32B5" w:rsidRDefault="003001E6" w:rsidP="00AC3E59">
      <w:pPr>
        <w:pStyle w:val="Heading4"/>
        <w:spacing w:after="120"/>
      </w:pPr>
      <w:r w:rsidRPr="00AF31A5">
        <w:t>Strengths</w:t>
      </w:r>
    </w:p>
    <w:p w14:paraId="6B13CAC2" w14:textId="7E0012AC" w:rsidR="003001E6" w:rsidRDefault="003001E6" w:rsidP="00BF2534">
      <w:pPr>
        <w:pStyle w:val="BodyText"/>
        <w:numPr>
          <w:ilvl w:val="0"/>
          <w:numId w:val="13"/>
        </w:numPr>
        <w:spacing w:after="120"/>
      </w:pPr>
      <w:r w:rsidRPr="00D960D2">
        <w:rPr>
          <w:b/>
          <w:bCs/>
        </w:rPr>
        <w:t>Strength 1</w:t>
      </w:r>
      <w:r w:rsidR="00085A11">
        <w:t xml:space="preserve">: Staffing was able to continue operations without delays </w:t>
      </w:r>
      <w:r w:rsidR="005A5CE0">
        <w:t>experienced by</w:t>
      </w:r>
      <w:r w:rsidR="00085A11">
        <w:t xml:space="preserve"> </w:t>
      </w:r>
      <w:r w:rsidR="005A5CE0">
        <w:t>agencies and</w:t>
      </w:r>
      <w:r w:rsidR="00085A11">
        <w:t xml:space="preserve"> hospitals</w:t>
      </w:r>
      <w:r w:rsidR="00334B15">
        <w:t xml:space="preserve">. </w:t>
      </w:r>
    </w:p>
    <w:p w14:paraId="7156591A" w14:textId="52E87C32" w:rsidR="003001E6" w:rsidRDefault="003001E6" w:rsidP="00BF2534">
      <w:pPr>
        <w:pStyle w:val="BodyText"/>
        <w:numPr>
          <w:ilvl w:val="0"/>
          <w:numId w:val="13"/>
        </w:numPr>
        <w:spacing w:after="120"/>
      </w:pPr>
      <w:r w:rsidRPr="00D960D2">
        <w:rPr>
          <w:b/>
          <w:bCs/>
        </w:rPr>
        <w:t>Strength 2</w:t>
      </w:r>
      <w:r w:rsidR="00334B15">
        <w:t xml:space="preserve">: </w:t>
      </w:r>
      <w:r w:rsidR="005A5CE0">
        <w:t>Hospitals were a</w:t>
      </w:r>
      <w:r w:rsidR="00334B15">
        <w:t>ble to continue residential and inpatient services in-person to maintain operations</w:t>
      </w:r>
      <w:r w:rsidR="005A5CE0">
        <w:t xml:space="preserve"> by</w:t>
      </w:r>
      <w:r w:rsidR="00334B15">
        <w:t xml:space="preserve"> using PPE. </w:t>
      </w:r>
    </w:p>
    <w:p w14:paraId="7738C421" w14:textId="5EF97D01" w:rsidR="00334B15" w:rsidRDefault="00334B15" w:rsidP="00BF2534">
      <w:pPr>
        <w:pStyle w:val="BodyText"/>
        <w:numPr>
          <w:ilvl w:val="0"/>
          <w:numId w:val="13"/>
        </w:numPr>
        <w:spacing w:after="120"/>
      </w:pPr>
      <w:r w:rsidRPr="00D960D2">
        <w:rPr>
          <w:b/>
          <w:bCs/>
        </w:rPr>
        <w:t>Strength 3</w:t>
      </w:r>
      <w:r>
        <w:t xml:space="preserve">: Some </w:t>
      </w:r>
      <w:r w:rsidR="005972A0">
        <w:t xml:space="preserve">agencies </w:t>
      </w:r>
      <w:r>
        <w:t xml:space="preserve">used </w:t>
      </w:r>
      <w:r w:rsidR="005972A0">
        <w:t xml:space="preserve">the incident </w:t>
      </w:r>
      <w:r>
        <w:t xml:space="preserve">as an opportunity to update COOP plans and department specific plans. </w:t>
      </w:r>
    </w:p>
    <w:p w14:paraId="6FB99BC4" w14:textId="3615BB17" w:rsidR="00787D9F" w:rsidRDefault="00787D9F" w:rsidP="00BF2534">
      <w:pPr>
        <w:pStyle w:val="BodyText"/>
        <w:numPr>
          <w:ilvl w:val="0"/>
          <w:numId w:val="13"/>
        </w:numPr>
        <w:spacing w:after="120"/>
      </w:pPr>
      <w:r w:rsidRPr="00D960D2">
        <w:rPr>
          <w:b/>
          <w:bCs/>
        </w:rPr>
        <w:t>Strength 4</w:t>
      </w:r>
      <w:r>
        <w:t xml:space="preserve">: </w:t>
      </w:r>
      <w:r w:rsidR="005972A0">
        <w:t>E</w:t>
      </w:r>
      <w:r>
        <w:t xml:space="preserve">arly acknowledgement </w:t>
      </w:r>
      <w:r w:rsidR="005972A0">
        <w:t>of the hazard allowed for</w:t>
      </w:r>
      <w:r>
        <w:t xml:space="preserve"> pre-plannin</w:t>
      </w:r>
      <w:r w:rsidR="005972A0">
        <w:t>g</w:t>
      </w:r>
      <w:r>
        <w:t xml:space="preserve">. </w:t>
      </w:r>
    </w:p>
    <w:p w14:paraId="18A5388D" w14:textId="77777777" w:rsidR="003001E6" w:rsidRPr="00AF31A5" w:rsidRDefault="003001E6" w:rsidP="00AC3E59">
      <w:pPr>
        <w:pStyle w:val="Heading4"/>
        <w:spacing w:after="120"/>
      </w:pPr>
      <w:r w:rsidRPr="00AF31A5">
        <w:t>Areas for Improvement</w:t>
      </w:r>
    </w:p>
    <w:p w14:paraId="7C32CD05" w14:textId="73672596" w:rsidR="00A8037A" w:rsidRPr="00A8037A" w:rsidRDefault="00A8037A" w:rsidP="00BF2534">
      <w:pPr>
        <w:pStyle w:val="BodyText"/>
        <w:numPr>
          <w:ilvl w:val="0"/>
          <w:numId w:val="14"/>
        </w:numPr>
        <w:spacing w:after="120"/>
      </w:pPr>
      <w:r w:rsidRPr="00A8037A">
        <w:rPr>
          <w:b/>
          <w:bCs/>
        </w:rPr>
        <w:t>Area for Improvement 1</w:t>
      </w:r>
      <w:r>
        <w:t xml:space="preserve">: Some agencies cited not having </w:t>
      </w:r>
      <w:r w:rsidR="005972A0">
        <w:t xml:space="preserve">a </w:t>
      </w:r>
      <w:r>
        <w:t xml:space="preserve">finalized COOP </w:t>
      </w:r>
      <w:r w:rsidR="005972A0">
        <w:t>p</w:t>
      </w:r>
      <w:r>
        <w:t>lan</w:t>
      </w:r>
      <w:r w:rsidR="005972A0">
        <w:t xml:space="preserve"> </w:t>
      </w:r>
      <w:r>
        <w:t xml:space="preserve">as </w:t>
      </w:r>
      <w:r w:rsidR="0079628A">
        <w:t>contributing</w:t>
      </w:r>
      <w:r>
        <w:t xml:space="preserve"> to frequent </w:t>
      </w:r>
      <w:r w:rsidR="0079628A">
        <w:t xml:space="preserve">operational </w:t>
      </w:r>
      <w:r>
        <w:t xml:space="preserve">changes and having to quickly identify non-essential or at-risk employees. </w:t>
      </w:r>
    </w:p>
    <w:p w14:paraId="157747AD" w14:textId="65F36A29" w:rsidR="003001E6" w:rsidRDefault="003001E6" w:rsidP="00BF2534">
      <w:pPr>
        <w:pStyle w:val="BodyText"/>
        <w:numPr>
          <w:ilvl w:val="0"/>
          <w:numId w:val="14"/>
        </w:numPr>
        <w:spacing w:after="120"/>
      </w:pPr>
      <w:r w:rsidRPr="00A8037A">
        <w:rPr>
          <w:b/>
          <w:bCs/>
        </w:rPr>
        <w:t xml:space="preserve">Area for improvement </w:t>
      </w:r>
      <w:r w:rsidR="0079628A">
        <w:rPr>
          <w:b/>
          <w:bCs/>
        </w:rPr>
        <w:t>2</w:t>
      </w:r>
      <w:r w:rsidR="00A8037A">
        <w:t>: Balancing day-to-day work with expanding needs of the pandemic respons</w:t>
      </w:r>
      <w:r w:rsidR="0079628A">
        <w:t xml:space="preserve">e was a challenge that was </w:t>
      </w:r>
      <w:r w:rsidR="00865CDA">
        <w:t>experienced</w:t>
      </w:r>
      <w:r w:rsidR="00374AB9">
        <w:t xml:space="preserve">. </w:t>
      </w:r>
    </w:p>
    <w:p w14:paraId="18ACB26F" w14:textId="311DD9B1" w:rsidR="00A8037A" w:rsidRDefault="00A8037A" w:rsidP="00BF2534">
      <w:pPr>
        <w:pStyle w:val="BodyText"/>
        <w:numPr>
          <w:ilvl w:val="0"/>
          <w:numId w:val="14"/>
        </w:numPr>
        <w:spacing w:after="120"/>
      </w:pPr>
      <w:r>
        <w:rPr>
          <w:b/>
          <w:bCs/>
        </w:rPr>
        <w:t>Area for Improvement 3</w:t>
      </w:r>
      <w:r w:rsidRPr="00A8037A">
        <w:t>:</w:t>
      </w:r>
      <w:r>
        <w:t xml:space="preserve"> Staffing challenges were experienced by </w:t>
      </w:r>
      <w:r w:rsidR="00374AB9">
        <w:t>many</w:t>
      </w:r>
      <w:r>
        <w:t xml:space="preserve"> agencies</w:t>
      </w:r>
      <w:r w:rsidR="00374AB9">
        <w:t xml:space="preserve">. Not having </w:t>
      </w:r>
      <w:r>
        <w:t>back-up staff to support nursing, doctors, administration, or management</w:t>
      </w:r>
      <w:r w:rsidR="00374AB9">
        <w:t xml:space="preserve"> </w:t>
      </w:r>
      <w:r w:rsidR="00D917F6">
        <w:t xml:space="preserve">contributed to challenges when hospitals had to staff </w:t>
      </w:r>
      <w:r w:rsidR="000F02E2">
        <w:t>isolation wards</w:t>
      </w:r>
      <w:r>
        <w:t xml:space="preserve">. </w:t>
      </w:r>
    </w:p>
    <w:p w14:paraId="328EBB70" w14:textId="5538C384" w:rsidR="00A8037A" w:rsidRDefault="00A8037A" w:rsidP="00BF2534">
      <w:pPr>
        <w:pStyle w:val="BodyText"/>
        <w:numPr>
          <w:ilvl w:val="0"/>
          <w:numId w:val="14"/>
        </w:numPr>
        <w:spacing w:after="120"/>
      </w:pPr>
      <w:r>
        <w:rPr>
          <w:b/>
          <w:bCs/>
        </w:rPr>
        <w:lastRenderedPageBreak/>
        <w:t>Area for Improvement 4</w:t>
      </w:r>
      <w:r w:rsidRPr="00A8037A">
        <w:t>:</w:t>
      </w:r>
      <w:r>
        <w:t xml:space="preserve"> </w:t>
      </w:r>
      <w:r w:rsidR="00AC4707">
        <w:t xml:space="preserve">Decreased volume in patients led to decreased revenue in some health facilities. </w:t>
      </w:r>
    </w:p>
    <w:p w14:paraId="79EC38F3" w14:textId="566F48E1" w:rsidR="00AC3E59" w:rsidRDefault="00AC3E59" w:rsidP="00AC3E59">
      <w:pPr>
        <w:pStyle w:val="BodyText"/>
        <w:spacing w:before="200" w:after="240"/>
      </w:pPr>
      <w:r w:rsidRPr="00AF31A5">
        <w:rPr>
          <w:rStyle w:val="Heading4Char"/>
          <w:u w:val="single"/>
        </w:rPr>
        <w:t>Analysis</w:t>
      </w:r>
      <w:r>
        <w:rPr>
          <w:rStyle w:val="Heading4Char"/>
          <w:u w:val="single"/>
        </w:rPr>
        <w:t xml:space="preserve"> of Objective</w:t>
      </w:r>
      <w:r w:rsidRPr="00AF31A5">
        <w:rPr>
          <w:rStyle w:val="Heading4Char"/>
          <w:u w:val="single"/>
        </w:rPr>
        <w:t>:</w:t>
      </w:r>
      <w:r w:rsidRPr="00AF31A5">
        <w:t xml:space="preserve"> </w:t>
      </w:r>
      <w:r w:rsidR="007D79DD">
        <w:t xml:space="preserve">Overall, agencies were able to continue operations with limited impact. </w:t>
      </w:r>
      <w:r w:rsidR="001B1157">
        <w:t xml:space="preserve">COOP plans developed by some agencies were helpful in </w:t>
      </w:r>
      <w:r w:rsidR="007D79DD">
        <w:t>transitioning duties and meeting the needs of the response. Many agencies demonstrated creativity in continuing operations while prioritizing safety needs</w:t>
      </w:r>
      <w:r w:rsidR="00F2577E">
        <w:t xml:space="preserve"> and striving to ensure non-essential staff remained employed. </w:t>
      </w:r>
      <w:r w:rsidR="003D437B">
        <w:t xml:space="preserve">Formalizing COOP plans, training and exercising to them will continue to benefit agencies. </w:t>
      </w:r>
    </w:p>
    <w:p w14:paraId="17F8B50F" w14:textId="525C3DE1" w:rsidR="003001E6" w:rsidRPr="00ED76A7" w:rsidRDefault="003001E6" w:rsidP="00536387">
      <w:pPr>
        <w:pStyle w:val="Heading3"/>
        <w:spacing w:before="360"/>
      </w:pPr>
      <w:r>
        <w:t xml:space="preserve">Objective </w:t>
      </w:r>
      <w:r w:rsidR="00A30126">
        <w:t>3</w:t>
      </w:r>
      <w:r>
        <w:t>:</w:t>
      </w:r>
      <w:r w:rsidRPr="00ED76A7">
        <w:t xml:space="preserve"> </w:t>
      </w:r>
      <w:r w:rsidR="00A30126" w:rsidRPr="00A30126">
        <w:t>Maintain Access to Non-Personnel Resources during an Emergency</w:t>
      </w:r>
    </w:p>
    <w:p w14:paraId="3B46BC18" w14:textId="77777777" w:rsidR="003001E6" w:rsidRPr="00AF31A5" w:rsidRDefault="003001E6" w:rsidP="00AC3E59">
      <w:pPr>
        <w:pStyle w:val="Heading4"/>
        <w:spacing w:after="120"/>
      </w:pPr>
      <w:r w:rsidRPr="00AF31A5">
        <w:t>Strengths</w:t>
      </w:r>
    </w:p>
    <w:p w14:paraId="65FBE109" w14:textId="1B936D6B" w:rsidR="003001E6" w:rsidRDefault="003001E6" w:rsidP="00BF2534">
      <w:pPr>
        <w:pStyle w:val="BodyText"/>
        <w:numPr>
          <w:ilvl w:val="0"/>
          <w:numId w:val="15"/>
        </w:numPr>
        <w:spacing w:after="120"/>
      </w:pPr>
      <w:r w:rsidRPr="00F2577E">
        <w:rPr>
          <w:b/>
          <w:bCs/>
        </w:rPr>
        <w:t xml:space="preserve">Strength </w:t>
      </w:r>
      <w:r w:rsidR="00F2577E">
        <w:rPr>
          <w:b/>
          <w:bCs/>
        </w:rPr>
        <w:t>1</w:t>
      </w:r>
      <w:r w:rsidR="00953FE2">
        <w:t xml:space="preserve">: Supply </w:t>
      </w:r>
      <w:r w:rsidR="00865CDA">
        <w:t>chains</w:t>
      </w:r>
      <w:r w:rsidR="00953FE2">
        <w:t xml:space="preserve"> were able to receive some resource orders, such as PPE</w:t>
      </w:r>
      <w:r w:rsidR="00F2577E">
        <w:t>,</w:t>
      </w:r>
      <w:r w:rsidR="00953FE2">
        <w:t xml:space="preserve"> through distributors, local public health and emergency management</w:t>
      </w:r>
      <w:r w:rsidR="00F2577E">
        <w:t>, CHA</w:t>
      </w:r>
      <w:r w:rsidR="00185CFD">
        <w:t>, and FEMA</w:t>
      </w:r>
      <w:r w:rsidR="00953FE2">
        <w:t xml:space="preserve">. </w:t>
      </w:r>
    </w:p>
    <w:p w14:paraId="47F3E653" w14:textId="57255873" w:rsidR="00953FE2" w:rsidRDefault="00953FE2" w:rsidP="00BF2534">
      <w:pPr>
        <w:pStyle w:val="BodyText"/>
        <w:numPr>
          <w:ilvl w:val="0"/>
          <w:numId w:val="15"/>
        </w:numPr>
        <w:spacing w:after="120"/>
      </w:pPr>
      <w:r w:rsidRPr="00F2577E">
        <w:rPr>
          <w:b/>
          <w:bCs/>
        </w:rPr>
        <w:t xml:space="preserve">Strength </w:t>
      </w:r>
      <w:r w:rsidR="00F2577E">
        <w:rPr>
          <w:b/>
          <w:bCs/>
        </w:rPr>
        <w:t>2</w:t>
      </w:r>
      <w:r>
        <w:t xml:space="preserve">: </w:t>
      </w:r>
      <w:r w:rsidR="00185CFD">
        <w:t>Donation of PPE from various agencies</w:t>
      </w:r>
      <w:r w:rsidR="00F74A0C">
        <w:t>, including local dentists,</w:t>
      </w:r>
      <w:r w:rsidR="00185CFD">
        <w:t xml:space="preserve"> helped to maintain </w:t>
      </w:r>
      <w:r w:rsidR="00F74A0C">
        <w:t xml:space="preserve">capacity within hospitals and health facilities. </w:t>
      </w:r>
    </w:p>
    <w:p w14:paraId="3256634E" w14:textId="0B0AB93B" w:rsidR="00F2577E" w:rsidRDefault="00F2577E" w:rsidP="00BF2534">
      <w:pPr>
        <w:pStyle w:val="BodyText"/>
        <w:numPr>
          <w:ilvl w:val="0"/>
          <w:numId w:val="15"/>
        </w:numPr>
        <w:spacing w:after="120"/>
      </w:pPr>
      <w:r w:rsidRPr="00F2577E">
        <w:rPr>
          <w:b/>
          <w:bCs/>
        </w:rPr>
        <w:t xml:space="preserve">Strength </w:t>
      </w:r>
      <w:r>
        <w:rPr>
          <w:b/>
          <w:bCs/>
        </w:rPr>
        <w:t>3</w:t>
      </w:r>
      <w:r>
        <w:t>:</w:t>
      </w:r>
      <w:r w:rsidR="00F74A0C">
        <w:t xml:space="preserve"> </w:t>
      </w:r>
      <w:r w:rsidR="00F45942">
        <w:t>Most h</w:t>
      </w:r>
      <w:r w:rsidR="00F74A0C">
        <w:t>ospitals</w:t>
      </w:r>
      <w:r w:rsidR="00F45942">
        <w:t xml:space="preserve"> and health facilities</w:t>
      </w:r>
      <w:r w:rsidR="00F74A0C">
        <w:t xml:space="preserve"> did not run out of supplies or had adequate supplies and PPE, which helped prevent spread</w:t>
      </w:r>
      <w:r w:rsidR="00F45942">
        <w:t xml:space="preserve">. When supplies ran out, agencies demonstrated creativity and adaptability in problem solving, </w:t>
      </w:r>
      <w:r w:rsidR="00865CDA">
        <w:t>such</w:t>
      </w:r>
      <w:r w:rsidR="00F45942">
        <w:t xml:space="preserve"> as </w:t>
      </w:r>
      <w:r w:rsidR="002E53B4">
        <w:t xml:space="preserve">sewing reusable PPE gowns. </w:t>
      </w:r>
    </w:p>
    <w:p w14:paraId="4E270DDA" w14:textId="6FD28AA8" w:rsidR="002E53B4" w:rsidRDefault="00953FE2" w:rsidP="00BF2534">
      <w:pPr>
        <w:pStyle w:val="BodyText"/>
        <w:numPr>
          <w:ilvl w:val="0"/>
          <w:numId w:val="15"/>
        </w:numPr>
        <w:spacing w:after="120"/>
      </w:pPr>
      <w:r w:rsidRPr="00F2577E">
        <w:rPr>
          <w:b/>
          <w:bCs/>
        </w:rPr>
        <w:t>Strength 4</w:t>
      </w:r>
      <w:r>
        <w:t xml:space="preserve">: </w:t>
      </w:r>
      <w:r w:rsidR="002E53B4">
        <w:t xml:space="preserve">Grant for </w:t>
      </w:r>
      <w:r w:rsidR="00865CDA">
        <w:t>Battelle</w:t>
      </w:r>
      <w:r w:rsidR="002E53B4">
        <w:t xml:space="preserve"> CCDS Critical Care Decontamination System was received to support decontamination operations. </w:t>
      </w:r>
    </w:p>
    <w:p w14:paraId="695EDE19" w14:textId="4E8F005B" w:rsidR="00953FE2" w:rsidRDefault="00953FE2" w:rsidP="00BF2534">
      <w:pPr>
        <w:pStyle w:val="BodyText"/>
        <w:numPr>
          <w:ilvl w:val="0"/>
          <w:numId w:val="15"/>
        </w:numPr>
        <w:spacing w:after="120"/>
      </w:pPr>
      <w:r w:rsidRPr="00F2577E">
        <w:rPr>
          <w:b/>
          <w:bCs/>
        </w:rPr>
        <w:t xml:space="preserve">Strength </w:t>
      </w:r>
      <w:r w:rsidR="00F2577E">
        <w:rPr>
          <w:b/>
          <w:bCs/>
        </w:rPr>
        <w:t>5</w:t>
      </w:r>
      <w:r>
        <w:t xml:space="preserve">: </w:t>
      </w:r>
      <w:r w:rsidR="002E53B4">
        <w:t xml:space="preserve">Paycheck Protection Program funds helped support </w:t>
      </w:r>
      <w:r w:rsidR="00BB7D02">
        <w:t xml:space="preserve">some agencies in meeting the needs of paying staff without compromising operational considerations. </w:t>
      </w:r>
    </w:p>
    <w:p w14:paraId="0AF50D56" w14:textId="77777777" w:rsidR="003001E6" w:rsidRPr="00AF31A5" w:rsidRDefault="003001E6" w:rsidP="00AC3E59">
      <w:pPr>
        <w:pStyle w:val="Heading4"/>
        <w:spacing w:after="120"/>
      </w:pPr>
      <w:r w:rsidRPr="00AF31A5">
        <w:t>Areas for Improvement</w:t>
      </w:r>
    </w:p>
    <w:p w14:paraId="760D4167" w14:textId="0FECF7EC" w:rsidR="003001E6" w:rsidRDefault="00E954C6" w:rsidP="00BF2534">
      <w:pPr>
        <w:pStyle w:val="BodyText"/>
        <w:numPr>
          <w:ilvl w:val="0"/>
          <w:numId w:val="16"/>
        </w:numPr>
        <w:spacing w:after="120"/>
      </w:pPr>
      <w:r w:rsidRPr="00E954C6">
        <w:rPr>
          <w:b/>
          <w:bCs/>
        </w:rPr>
        <w:t>Area for Improvement 1</w:t>
      </w:r>
      <w:r>
        <w:t xml:space="preserve">: </w:t>
      </w:r>
      <w:r w:rsidR="000C252D">
        <w:t>There was a</w:t>
      </w:r>
      <w:r w:rsidR="00A230CF">
        <w:t xml:space="preserve"> widespread</w:t>
      </w:r>
      <w:r w:rsidR="000C252D">
        <w:t xml:space="preserve"> </w:t>
      </w:r>
      <w:r w:rsidR="008A7773">
        <w:t>shortage</w:t>
      </w:r>
      <w:r w:rsidR="00A230CF">
        <w:t xml:space="preserve"> of essential</w:t>
      </w:r>
      <w:r>
        <w:t xml:space="preserve"> supplie</w:t>
      </w:r>
      <w:r w:rsidR="00A230CF">
        <w:t>s</w:t>
      </w:r>
      <w:r w:rsidR="000C252D">
        <w:t>, including p</w:t>
      </w:r>
      <w:r>
        <w:t xml:space="preserve">rocedure masks, N95 fitted masks of proper size, gowns, sanitizer, replacement items for </w:t>
      </w:r>
      <w:r w:rsidRPr="00865CDA">
        <w:t>PAPRs</w:t>
      </w:r>
      <w:r>
        <w:t>, suction for vented patients</w:t>
      </w:r>
      <w:r w:rsidR="000C252D">
        <w:t xml:space="preserve">, and </w:t>
      </w:r>
      <w:r>
        <w:t>vent</w:t>
      </w:r>
      <w:r w:rsidR="00A230CF">
        <w:t xml:space="preserve"> filtration supplies</w:t>
      </w:r>
      <w:r>
        <w:t xml:space="preserve"> to prevent aerosolization of virus. The higher demand also led to substantially higher prices. </w:t>
      </w:r>
    </w:p>
    <w:p w14:paraId="697AAC31" w14:textId="55457D5F" w:rsidR="00E954C6" w:rsidRDefault="00E954C6" w:rsidP="00BF2534">
      <w:pPr>
        <w:pStyle w:val="BodyText"/>
        <w:numPr>
          <w:ilvl w:val="0"/>
          <w:numId w:val="16"/>
        </w:numPr>
        <w:spacing w:after="120"/>
      </w:pPr>
      <w:r>
        <w:rPr>
          <w:b/>
          <w:bCs/>
        </w:rPr>
        <w:t xml:space="preserve">Area for </w:t>
      </w:r>
      <w:r w:rsidR="00865CDA">
        <w:rPr>
          <w:b/>
          <w:bCs/>
        </w:rPr>
        <w:t>Improvement</w:t>
      </w:r>
      <w:r>
        <w:rPr>
          <w:b/>
          <w:bCs/>
        </w:rPr>
        <w:t xml:space="preserve"> 2</w:t>
      </w:r>
      <w:r w:rsidRPr="00E954C6">
        <w:t>:</w:t>
      </w:r>
      <w:r>
        <w:t xml:space="preserve"> Lower priority agencies had a harder time getting PPE</w:t>
      </w:r>
      <w:r w:rsidR="008A7773">
        <w:t>. Some agencies are still experiencing challenges receiving PPE due to g</w:t>
      </w:r>
      <w:r>
        <w:t xml:space="preserve">lobal supply chain disruption. </w:t>
      </w:r>
    </w:p>
    <w:p w14:paraId="6B786EDE" w14:textId="0ED3D0DB" w:rsidR="00E954C6" w:rsidRDefault="00E954C6" w:rsidP="00BF2534">
      <w:pPr>
        <w:pStyle w:val="BodyText"/>
        <w:numPr>
          <w:ilvl w:val="0"/>
          <w:numId w:val="16"/>
        </w:numPr>
        <w:spacing w:after="120"/>
      </w:pPr>
      <w:r>
        <w:rPr>
          <w:b/>
          <w:bCs/>
        </w:rPr>
        <w:t>Area for Improvement 3</w:t>
      </w:r>
      <w:r w:rsidRPr="00E954C6">
        <w:t>:</w:t>
      </w:r>
      <w:r>
        <w:t xml:space="preserve"> State and federal assistanc</w:t>
      </w:r>
      <w:r w:rsidR="008A7773">
        <w:t>e was challenging</w:t>
      </w:r>
      <w:r>
        <w:t xml:space="preserve">. However, </w:t>
      </w:r>
      <w:r w:rsidR="00126494">
        <w:t>local,</w:t>
      </w:r>
      <w:r>
        <w:t xml:space="preserve"> and regional coordination was widely cited for being supportive and creative in </w:t>
      </w:r>
      <w:r w:rsidR="00FA59E7">
        <w:t>addressing needs</w:t>
      </w:r>
      <w:r>
        <w:t xml:space="preserve">. </w:t>
      </w:r>
    </w:p>
    <w:p w14:paraId="25E1FB4E" w14:textId="5C503776" w:rsidR="003001E6" w:rsidRDefault="003001E6" w:rsidP="00AC3E59">
      <w:pPr>
        <w:pStyle w:val="BodyText"/>
        <w:spacing w:before="200" w:after="240"/>
      </w:pPr>
      <w:r w:rsidRPr="0001497D">
        <w:rPr>
          <w:rStyle w:val="Heading4Char"/>
        </w:rPr>
        <w:t>Analysis of Objective:</w:t>
      </w:r>
      <w:r w:rsidRPr="0001497D">
        <w:t xml:space="preserve"> </w:t>
      </w:r>
      <w:r w:rsidR="008A7773">
        <w:t xml:space="preserve">Local and regional partnerships were helpful in </w:t>
      </w:r>
      <w:r w:rsidR="008E7274">
        <w:t xml:space="preserve">ensuring that essential services were prioritized in receiving PPE. Coordination between agencies and </w:t>
      </w:r>
      <w:r w:rsidR="00865CDA">
        <w:t>locals</w:t>
      </w:r>
      <w:r w:rsidR="0074308E">
        <w:t xml:space="preserve"> were helpful in finding creative solutions to resource shortages. Coordination with state and federal </w:t>
      </w:r>
      <w:r w:rsidR="00865CDA">
        <w:t>entities</w:t>
      </w:r>
      <w:r w:rsidR="0074308E">
        <w:t xml:space="preserve"> </w:t>
      </w:r>
      <w:r w:rsidR="00CE4543">
        <w:t xml:space="preserve">were cited as being challenging and </w:t>
      </w:r>
      <w:r w:rsidR="00865CDA">
        <w:t>requiring</w:t>
      </w:r>
      <w:r w:rsidR="00CE4543">
        <w:t xml:space="preserve"> redundant reporting. </w:t>
      </w:r>
    </w:p>
    <w:p w14:paraId="0C6C7EEA" w14:textId="77777777" w:rsidR="00126494" w:rsidRPr="0001497D" w:rsidRDefault="00126494" w:rsidP="00AC3E59">
      <w:pPr>
        <w:pStyle w:val="BodyText"/>
        <w:spacing w:before="200" w:after="240"/>
      </w:pPr>
    </w:p>
    <w:p w14:paraId="0968FB1F" w14:textId="34815954" w:rsidR="00A30126" w:rsidRPr="00ED76A7" w:rsidRDefault="00A30126" w:rsidP="00536387">
      <w:pPr>
        <w:pStyle w:val="Heading3"/>
        <w:spacing w:before="360"/>
      </w:pPr>
      <w:r>
        <w:lastRenderedPageBreak/>
        <w:t>Objective 4:</w:t>
      </w:r>
      <w:r w:rsidRPr="00ED76A7">
        <w:t xml:space="preserve"> </w:t>
      </w:r>
      <w:r w:rsidRPr="00A30126">
        <w:t>Develop Strategies to Protect Health Care Information Systems and Networks</w:t>
      </w:r>
    </w:p>
    <w:p w14:paraId="1B7679F4" w14:textId="77777777" w:rsidR="00A30126" w:rsidRPr="00AF31A5" w:rsidRDefault="00A30126" w:rsidP="00AC3E59">
      <w:pPr>
        <w:pStyle w:val="Heading4"/>
        <w:spacing w:after="120"/>
      </w:pPr>
      <w:r w:rsidRPr="00AF31A5">
        <w:t>Strengths</w:t>
      </w:r>
    </w:p>
    <w:p w14:paraId="2B314721" w14:textId="1AC9C25A" w:rsidR="00A30126" w:rsidRDefault="00A30126" w:rsidP="00BF2534">
      <w:pPr>
        <w:pStyle w:val="BodyText"/>
        <w:numPr>
          <w:ilvl w:val="0"/>
          <w:numId w:val="17"/>
        </w:numPr>
        <w:spacing w:after="120"/>
      </w:pPr>
      <w:r w:rsidRPr="00982A93">
        <w:rPr>
          <w:b/>
          <w:bCs/>
        </w:rPr>
        <w:t>Strength 1</w:t>
      </w:r>
      <w:r w:rsidR="00334B15">
        <w:t xml:space="preserve">: Team meetings were able to continue virtually through conference calls and </w:t>
      </w:r>
      <w:r w:rsidR="00944BC8">
        <w:t>online</w:t>
      </w:r>
      <w:r w:rsidR="00334B15">
        <w:t xml:space="preserve"> platforms</w:t>
      </w:r>
      <w:r w:rsidR="00F2392F">
        <w:t xml:space="preserve"> which</w:t>
      </w:r>
      <w:r w:rsidR="00334B15">
        <w:t xml:space="preserve"> supported coordination and information exchange. </w:t>
      </w:r>
    </w:p>
    <w:p w14:paraId="1C828D64" w14:textId="51D8CD12" w:rsidR="00A30126" w:rsidRDefault="00A30126" w:rsidP="00BF2534">
      <w:pPr>
        <w:pStyle w:val="BodyText"/>
        <w:numPr>
          <w:ilvl w:val="0"/>
          <w:numId w:val="17"/>
        </w:numPr>
        <w:spacing w:after="120"/>
      </w:pPr>
      <w:r w:rsidRPr="00982A93">
        <w:rPr>
          <w:b/>
          <w:bCs/>
        </w:rPr>
        <w:t>Strength 2</w:t>
      </w:r>
      <w:r w:rsidR="00334B15">
        <w:t xml:space="preserve">: Some </w:t>
      </w:r>
      <w:r w:rsidR="00F2392F">
        <w:t xml:space="preserve">regular </w:t>
      </w:r>
      <w:r w:rsidR="00334B15">
        <w:t>duties were able to transition to remote</w:t>
      </w:r>
      <w:r w:rsidR="00F2392F">
        <w:t xml:space="preserve"> work, which helped limit the </w:t>
      </w:r>
      <w:r w:rsidR="00774B60">
        <w:t>number</w:t>
      </w:r>
      <w:r w:rsidR="00F2392F">
        <w:t xml:space="preserve"> of individuals in buildings. </w:t>
      </w:r>
    </w:p>
    <w:p w14:paraId="63D907AD" w14:textId="0B1E1D5F" w:rsidR="00334B15" w:rsidRDefault="00334B15" w:rsidP="00BF2534">
      <w:pPr>
        <w:pStyle w:val="BodyText"/>
        <w:numPr>
          <w:ilvl w:val="0"/>
          <w:numId w:val="17"/>
        </w:numPr>
        <w:spacing w:after="120"/>
      </w:pPr>
      <w:r w:rsidRPr="00982A93">
        <w:rPr>
          <w:b/>
          <w:bCs/>
        </w:rPr>
        <w:t>Strength 3</w:t>
      </w:r>
      <w:r>
        <w:t>: No interruption of service</w:t>
      </w:r>
      <w:r w:rsidR="00F2392F">
        <w:t xml:space="preserve"> was experienced by many agencies. </w:t>
      </w:r>
    </w:p>
    <w:p w14:paraId="0F68E294" w14:textId="0D21F3A4" w:rsidR="00334B15" w:rsidRDefault="00334B15" w:rsidP="00BF2534">
      <w:pPr>
        <w:pStyle w:val="BodyText"/>
        <w:numPr>
          <w:ilvl w:val="0"/>
          <w:numId w:val="17"/>
        </w:numPr>
        <w:spacing w:after="120"/>
      </w:pPr>
      <w:r w:rsidRPr="00982A93">
        <w:rPr>
          <w:b/>
          <w:bCs/>
        </w:rPr>
        <w:t>Strength 4</w:t>
      </w:r>
      <w:r>
        <w:t xml:space="preserve">: Telehealth services </w:t>
      </w:r>
      <w:r w:rsidR="00F2392F">
        <w:t xml:space="preserve">were successfully </w:t>
      </w:r>
      <w:r>
        <w:t xml:space="preserve">implemented. </w:t>
      </w:r>
    </w:p>
    <w:p w14:paraId="5776E4FB" w14:textId="77777777" w:rsidR="00A30126" w:rsidRPr="00AF31A5" w:rsidRDefault="00A30126" w:rsidP="00AC3E59">
      <w:pPr>
        <w:pStyle w:val="Heading4"/>
        <w:spacing w:after="120"/>
      </w:pPr>
      <w:r w:rsidRPr="00AF31A5">
        <w:t>Areas for Improvement</w:t>
      </w:r>
    </w:p>
    <w:p w14:paraId="073B5F1B" w14:textId="02170AAE" w:rsidR="00A30126" w:rsidRDefault="00A8037A" w:rsidP="00BF2534">
      <w:pPr>
        <w:pStyle w:val="BodyText"/>
        <w:numPr>
          <w:ilvl w:val="0"/>
          <w:numId w:val="18"/>
        </w:numPr>
        <w:spacing w:after="120"/>
      </w:pPr>
      <w:r w:rsidRPr="00A8037A">
        <w:rPr>
          <w:b/>
          <w:bCs/>
        </w:rPr>
        <w:t>Area for Improvement 1</w:t>
      </w:r>
      <w:r>
        <w:t xml:space="preserve">: </w:t>
      </w:r>
      <w:r w:rsidR="00F2392F">
        <w:t xml:space="preserve">Although agencies were able to establish </w:t>
      </w:r>
      <w:r w:rsidR="00AC4707">
        <w:t>new IT systems for remote work, virtual meetings, and telehealth capabilities</w:t>
      </w:r>
      <w:r w:rsidR="00F2392F">
        <w:t xml:space="preserve">, </w:t>
      </w:r>
      <w:r w:rsidR="004D09F5">
        <w:t xml:space="preserve">implementation was challenging. Slow internet and dropped calls contributed to the challenges of virtual work. </w:t>
      </w:r>
    </w:p>
    <w:p w14:paraId="04E53961" w14:textId="119B45C5" w:rsidR="00AC4707" w:rsidRDefault="00AC4707" w:rsidP="00BF2534">
      <w:pPr>
        <w:pStyle w:val="BodyText"/>
        <w:numPr>
          <w:ilvl w:val="0"/>
          <w:numId w:val="18"/>
        </w:numPr>
        <w:spacing w:after="120"/>
      </w:pPr>
      <w:r>
        <w:rPr>
          <w:b/>
          <w:bCs/>
        </w:rPr>
        <w:t>Area for Improvement 2</w:t>
      </w:r>
      <w:r w:rsidRPr="00AC4707">
        <w:t>:</w:t>
      </w:r>
      <w:r>
        <w:t xml:space="preserve"> Direct patient care cannot be executed remotely. </w:t>
      </w:r>
    </w:p>
    <w:p w14:paraId="0CD05F07" w14:textId="1609A805" w:rsidR="00AC4707" w:rsidRDefault="00AC4707" w:rsidP="00BF2534">
      <w:pPr>
        <w:pStyle w:val="BodyText"/>
        <w:numPr>
          <w:ilvl w:val="0"/>
          <w:numId w:val="18"/>
        </w:numPr>
        <w:spacing w:after="120"/>
      </w:pPr>
      <w:r>
        <w:rPr>
          <w:b/>
          <w:bCs/>
        </w:rPr>
        <w:t>Area for Improvement 3</w:t>
      </w:r>
      <w:r w:rsidRPr="00AC4707">
        <w:t>:</w:t>
      </w:r>
      <w:r>
        <w:t xml:space="preserve"> Some agencies had a lack of laptops to support employees transitioning to remote work. </w:t>
      </w:r>
    </w:p>
    <w:p w14:paraId="0B7F94D9" w14:textId="18C362FF" w:rsidR="00AC4707" w:rsidRDefault="00AC4707" w:rsidP="00BF2534">
      <w:pPr>
        <w:pStyle w:val="BodyText"/>
        <w:numPr>
          <w:ilvl w:val="0"/>
          <w:numId w:val="18"/>
        </w:numPr>
        <w:spacing w:after="120"/>
      </w:pPr>
      <w:r>
        <w:rPr>
          <w:b/>
          <w:bCs/>
        </w:rPr>
        <w:t>Area for Improvement 4</w:t>
      </w:r>
      <w:r w:rsidRPr="00AC4707">
        <w:t>:</w:t>
      </w:r>
      <w:r>
        <w:t xml:space="preserve"> Funding </w:t>
      </w:r>
      <w:r w:rsidR="004D09F5">
        <w:t>to support telehealth capabilities for</w:t>
      </w:r>
      <w:r>
        <w:t xml:space="preserve"> clinicians. </w:t>
      </w:r>
    </w:p>
    <w:p w14:paraId="52F6BD48" w14:textId="2038C3FB" w:rsidR="00A30126" w:rsidRDefault="00A30126" w:rsidP="00AC3E59">
      <w:pPr>
        <w:pStyle w:val="BodyText"/>
        <w:spacing w:before="200" w:after="240"/>
      </w:pPr>
      <w:r w:rsidRPr="0001497D">
        <w:rPr>
          <w:rStyle w:val="Heading4Char"/>
        </w:rPr>
        <w:t>Analysis of Objective</w:t>
      </w:r>
      <w:r w:rsidR="0001497D">
        <w:rPr>
          <w:rStyle w:val="Heading4Char"/>
        </w:rPr>
        <w:t>:</w:t>
      </w:r>
      <w:r w:rsidR="00F33442">
        <w:t xml:space="preserve"> Agencies were able to transition daily duties to </w:t>
      </w:r>
      <w:r w:rsidR="00AA60CD">
        <w:t xml:space="preserve">online information systems, which widely supported providing continued services without disruption. New technological solutions posed some challenges during implementation and should be considered in future planning. </w:t>
      </w:r>
      <w:r w:rsidR="003D437B">
        <w:t xml:space="preserve">Additional emphasis on online and virtual services will lead to an enhanced need to focus on cybersecurity initiatives moving forward. </w:t>
      </w:r>
    </w:p>
    <w:p w14:paraId="1CDA8537" w14:textId="3AD5A181" w:rsidR="00A30126" w:rsidRPr="00ED76A7" w:rsidRDefault="00A30126" w:rsidP="00536387">
      <w:pPr>
        <w:pStyle w:val="Heading3"/>
        <w:spacing w:before="360"/>
      </w:pPr>
      <w:r>
        <w:t>Objective 5:</w:t>
      </w:r>
      <w:r w:rsidRPr="00ED76A7">
        <w:t xml:space="preserve"> </w:t>
      </w:r>
      <w:r w:rsidRPr="00A30126">
        <w:t>Protect Responders’ Safety and Health</w:t>
      </w:r>
    </w:p>
    <w:p w14:paraId="063553FE" w14:textId="77777777" w:rsidR="00A30126" w:rsidRPr="00AF31A5" w:rsidRDefault="00A30126" w:rsidP="00AC3E59">
      <w:pPr>
        <w:pStyle w:val="Heading4"/>
        <w:spacing w:after="120"/>
      </w:pPr>
      <w:r w:rsidRPr="00AF31A5">
        <w:t>Strengths</w:t>
      </w:r>
    </w:p>
    <w:p w14:paraId="7F746B8A" w14:textId="16B80A77" w:rsidR="00A71424" w:rsidRDefault="00A30126" w:rsidP="00BF2534">
      <w:pPr>
        <w:pStyle w:val="BodyText"/>
        <w:numPr>
          <w:ilvl w:val="0"/>
          <w:numId w:val="19"/>
        </w:numPr>
        <w:spacing w:after="120"/>
      </w:pPr>
      <w:r w:rsidRPr="00982A93">
        <w:rPr>
          <w:b/>
          <w:bCs/>
        </w:rPr>
        <w:t>Strength 1</w:t>
      </w:r>
      <w:r w:rsidR="00334B15">
        <w:t xml:space="preserve">: </w:t>
      </w:r>
      <w:r w:rsidR="00A71424">
        <w:t xml:space="preserve">Prioritizing </w:t>
      </w:r>
      <w:r w:rsidR="00B84C37">
        <w:t xml:space="preserve">and planning for </w:t>
      </w:r>
      <w:r w:rsidR="00A71424">
        <w:t>the safety and health of responders</w:t>
      </w:r>
      <w:r w:rsidR="00B84C37">
        <w:t>, staff, patients, and the public,</w:t>
      </w:r>
      <w:r w:rsidR="00A71424">
        <w:t xml:space="preserve"> was widely cited as a strength by agencies. </w:t>
      </w:r>
    </w:p>
    <w:p w14:paraId="7E72AB9D" w14:textId="7214FE20" w:rsidR="00676042" w:rsidRDefault="00676042" w:rsidP="00BF2534">
      <w:pPr>
        <w:pStyle w:val="BodyText"/>
        <w:numPr>
          <w:ilvl w:val="0"/>
          <w:numId w:val="19"/>
        </w:numPr>
        <w:spacing w:after="120"/>
      </w:pPr>
      <w:r w:rsidRPr="00982A93">
        <w:rPr>
          <w:b/>
          <w:bCs/>
        </w:rPr>
        <w:t xml:space="preserve">Strength </w:t>
      </w:r>
      <w:r w:rsidR="00774B60" w:rsidRPr="00982A93">
        <w:rPr>
          <w:b/>
          <w:bCs/>
        </w:rPr>
        <w:t>2</w:t>
      </w:r>
      <w:r w:rsidR="00774B60">
        <w:t>: Infection</w:t>
      </w:r>
      <w:r>
        <w:t xml:space="preserve"> prevention measures were implemented early by requiring PPE and establishing screening protocols, and visitor restrictions.</w:t>
      </w:r>
    </w:p>
    <w:p w14:paraId="2475D1AC" w14:textId="64238E01" w:rsidR="00676042" w:rsidRDefault="00676042" w:rsidP="00676042">
      <w:pPr>
        <w:pStyle w:val="BodyText"/>
        <w:numPr>
          <w:ilvl w:val="0"/>
          <w:numId w:val="19"/>
        </w:numPr>
        <w:spacing w:after="120"/>
      </w:pPr>
      <w:r w:rsidRPr="00982A93">
        <w:rPr>
          <w:b/>
          <w:bCs/>
        </w:rPr>
        <w:t>Strength 3</w:t>
      </w:r>
      <w:r>
        <w:t xml:space="preserve">: </w:t>
      </w:r>
      <w:r w:rsidR="00B84C37">
        <w:t xml:space="preserve">Guidance from the State of Colorado </w:t>
      </w:r>
      <w:r w:rsidR="004D0DF3">
        <w:t xml:space="preserve">for screening in EMS and 9-1-1 centers was implemented, along with hardening of ambulances and providing decontamination for EMS staff. </w:t>
      </w:r>
    </w:p>
    <w:p w14:paraId="1B5EF1FA" w14:textId="24D2F149" w:rsidR="00676042" w:rsidRDefault="00B84C37" w:rsidP="00BF2534">
      <w:pPr>
        <w:pStyle w:val="BodyText"/>
        <w:numPr>
          <w:ilvl w:val="0"/>
          <w:numId w:val="19"/>
        </w:numPr>
        <w:spacing w:after="120"/>
      </w:pPr>
      <w:r w:rsidRPr="00B84C37">
        <w:rPr>
          <w:b/>
          <w:bCs/>
        </w:rPr>
        <w:t>Strength 4</w:t>
      </w:r>
      <w:r>
        <w:t>:</w:t>
      </w:r>
      <w:r w:rsidR="004C5D5B">
        <w:t xml:space="preserve"> Mental health and </w:t>
      </w:r>
      <w:r w:rsidR="00774B60">
        <w:t>self-care</w:t>
      </w:r>
      <w:r w:rsidR="004C5D5B">
        <w:t xml:space="preserve"> was emphasized and provided through </w:t>
      </w:r>
      <w:r w:rsidR="00CF3A24">
        <w:t xml:space="preserve">emails, emotional support phone lines, and Facebook Live presentations. </w:t>
      </w:r>
    </w:p>
    <w:p w14:paraId="6821A612" w14:textId="62418FEF" w:rsidR="00DD0DA6" w:rsidRDefault="00CF3A24" w:rsidP="004D0DF3">
      <w:pPr>
        <w:pStyle w:val="BodyText"/>
        <w:numPr>
          <w:ilvl w:val="0"/>
          <w:numId w:val="19"/>
        </w:numPr>
        <w:spacing w:after="120"/>
      </w:pPr>
      <w:r w:rsidRPr="00CF3A24">
        <w:rPr>
          <w:b/>
          <w:bCs/>
        </w:rPr>
        <w:t>Strength 5</w:t>
      </w:r>
      <w:r>
        <w:t xml:space="preserve">: Staff schedules were rearranged and limited to essential employees to lessen the amount of staff in the office at any one time. </w:t>
      </w:r>
      <w:r w:rsidR="00DD0DA6">
        <w:t xml:space="preserve"> </w:t>
      </w:r>
    </w:p>
    <w:p w14:paraId="57533F55" w14:textId="77777777" w:rsidR="00A30126" w:rsidRPr="00AF31A5" w:rsidRDefault="00A30126" w:rsidP="00FC41D2">
      <w:pPr>
        <w:pStyle w:val="Heading4"/>
        <w:spacing w:after="120"/>
      </w:pPr>
      <w:r w:rsidRPr="00AF31A5">
        <w:lastRenderedPageBreak/>
        <w:t>Areas for Improvement</w:t>
      </w:r>
    </w:p>
    <w:p w14:paraId="45C4DBCB" w14:textId="2AC1CC06" w:rsidR="00494DDE" w:rsidRDefault="00494DDE" w:rsidP="00494DDE">
      <w:pPr>
        <w:pStyle w:val="BodyText"/>
        <w:numPr>
          <w:ilvl w:val="0"/>
          <w:numId w:val="20"/>
        </w:numPr>
        <w:spacing w:after="120"/>
      </w:pPr>
      <w:r>
        <w:rPr>
          <w:b/>
          <w:bCs/>
        </w:rPr>
        <w:t>Area for Improvement 1</w:t>
      </w:r>
      <w:r w:rsidRPr="007324C6">
        <w:t>:</w:t>
      </w:r>
      <w:r>
        <w:t xml:space="preserve"> Getting access to testing for staff and patients was challenging and continues to be a challenge for some agencies. </w:t>
      </w:r>
    </w:p>
    <w:p w14:paraId="2FB17F90" w14:textId="524BE942" w:rsidR="00A30126" w:rsidRDefault="00A8037A" w:rsidP="00BF2534">
      <w:pPr>
        <w:pStyle w:val="BodyText"/>
        <w:numPr>
          <w:ilvl w:val="0"/>
          <w:numId w:val="20"/>
        </w:numPr>
        <w:spacing w:after="120"/>
      </w:pPr>
      <w:r w:rsidRPr="00A8037A">
        <w:rPr>
          <w:b/>
          <w:bCs/>
        </w:rPr>
        <w:t xml:space="preserve">Area for Improvement </w:t>
      </w:r>
      <w:r w:rsidR="00494DDE">
        <w:rPr>
          <w:b/>
          <w:bCs/>
        </w:rPr>
        <w:t>2</w:t>
      </w:r>
      <w:r>
        <w:t>: Challenges were experienced in balancing staffing patterns in health facilities to ensure that individuals with illness remained home while having enough staff to support patients</w:t>
      </w:r>
      <w:r w:rsidR="00494DDE">
        <w:t xml:space="preserve"> and operations</w:t>
      </w:r>
      <w:r>
        <w:t xml:space="preserve">. </w:t>
      </w:r>
    </w:p>
    <w:p w14:paraId="360E17E1" w14:textId="50BFED3F" w:rsidR="007324C6" w:rsidRDefault="007324C6" w:rsidP="00BF2534">
      <w:pPr>
        <w:pStyle w:val="BodyText"/>
        <w:numPr>
          <w:ilvl w:val="0"/>
          <w:numId w:val="20"/>
        </w:numPr>
        <w:spacing w:after="120"/>
      </w:pPr>
      <w:r w:rsidRPr="007324C6">
        <w:rPr>
          <w:b/>
          <w:bCs/>
        </w:rPr>
        <w:t>Area for Improvement</w:t>
      </w:r>
      <w:r>
        <w:t xml:space="preserve"> </w:t>
      </w:r>
      <w:r w:rsidR="00494DDE">
        <w:rPr>
          <w:b/>
          <w:bCs/>
        </w:rPr>
        <w:t>3</w:t>
      </w:r>
      <w:r>
        <w:t xml:space="preserve">: Ensuring compliance with safety requirements and adherence to PPE standards by staff, patients, and visitors. </w:t>
      </w:r>
      <w:r w:rsidR="00494DDE">
        <w:t>A</w:t>
      </w:r>
      <w:r w:rsidR="00E954C6">
        <w:t xml:space="preserve">dditional training </w:t>
      </w:r>
      <w:r w:rsidR="00494DDE">
        <w:t xml:space="preserve">was required </w:t>
      </w:r>
      <w:r w:rsidR="00E954C6">
        <w:t xml:space="preserve">to be effective. </w:t>
      </w:r>
    </w:p>
    <w:p w14:paraId="02FFE62E" w14:textId="2CD38926" w:rsidR="007324C6" w:rsidRDefault="007324C6" w:rsidP="00BF2534">
      <w:pPr>
        <w:pStyle w:val="BodyText"/>
        <w:numPr>
          <w:ilvl w:val="0"/>
          <w:numId w:val="20"/>
        </w:numPr>
        <w:spacing w:after="120"/>
      </w:pPr>
      <w:r>
        <w:rPr>
          <w:b/>
          <w:bCs/>
        </w:rPr>
        <w:t xml:space="preserve">Area for Improvement </w:t>
      </w:r>
      <w:r w:rsidR="00494DDE">
        <w:rPr>
          <w:b/>
          <w:bCs/>
        </w:rPr>
        <w:t>4</w:t>
      </w:r>
      <w:r w:rsidRPr="007324C6">
        <w:t>:</w:t>
      </w:r>
      <w:r>
        <w:t xml:space="preserve"> Increasing the frequency of cleaning </w:t>
      </w:r>
      <w:r w:rsidR="00494DDE">
        <w:t xml:space="preserve">facilities. </w:t>
      </w:r>
    </w:p>
    <w:p w14:paraId="734C37A0" w14:textId="033C525C" w:rsidR="007324C6" w:rsidRDefault="007324C6" w:rsidP="00BF2534">
      <w:pPr>
        <w:pStyle w:val="BodyText"/>
        <w:numPr>
          <w:ilvl w:val="0"/>
          <w:numId w:val="20"/>
        </w:numPr>
        <w:spacing w:after="120"/>
      </w:pPr>
      <w:r>
        <w:rPr>
          <w:b/>
          <w:bCs/>
        </w:rPr>
        <w:t>Area for Improvement 5</w:t>
      </w:r>
      <w:r w:rsidRPr="007324C6">
        <w:t>:</w:t>
      </w:r>
      <w:r>
        <w:t xml:space="preserve"> </w:t>
      </w:r>
      <w:r w:rsidR="00865CDA">
        <w:t>Determining</w:t>
      </w:r>
      <w:r>
        <w:t xml:space="preserve"> how to screen all patients and visitors coming into the facility</w:t>
      </w:r>
      <w:r w:rsidR="00494DDE">
        <w:t xml:space="preserve"> was a challenge. </w:t>
      </w:r>
    </w:p>
    <w:p w14:paraId="6F7EE0C7" w14:textId="299D94DD" w:rsidR="00FA59E7" w:rsidRDefault="00FA59E7" w:rsidP="00BF2534">
      <w:pPr>
        <w:pStyle w:val="BodyText"/>
        <w:numPr>
          <w:ilvl w:val="0"/>
          <w:numId w:val="20"/>
        </w:numPr>
        <w:spacing w:after="120"/>
      </w:pPr>
      <w:r>
        <w:rPr>
          <w:b/>
          <w:bCs/>
        </w:rPr>
        <w:t>Area for Improvement 6</w:t>
      </w:r>
      <w:r w:rsidRPr="00FA59E7">
        <w:t>:</w:t>
      </w:r>
      <w:r>
        <w:t xml:space="preserve"> Moral of staff and residents</w:t>
      </w:r>
      <w:r w:rsidR="00494DDE">
        <w:t xml:space="preserve"> was a challenge for hospitals, while some p</w:t>
      </w:r>
      <w:r>
        <w:t xml:space="preserve">atients unable to see family members. </w:t>
      </w:r>
    </w:p>
    <w:p w14:paraId="50C639D0" w14:textId="622B4777" w:rsidR="00A30126" w:rsidRPr="0001497D" w:rsidRDefault="00A30126" w:rsidP="00A877C1">
      <w:pPr>
        <w:pStyle w:val="BodyText"/>
        <w:spacing w:before="200" w:after="480"/>
      </w:pPr>
      <w:r w:rsidRPr="0001497D">
        <w:rPr>
          <w:rStyle w:val="Heading4Char"/>
        </w:rPr>
        <w:t>Analysis of Objective:</w:t>
      </w:r>
      <w:r w:rsidRPr="0001497D">
        <w:t xml:space="preserve"> </w:t>
      </w:r>
      <w:r w:rsidR="00EF725A">
        <w:t xml:space="preserve">Agencies prioritized the safety and health of </w:t>
      </w:r>
      <w:r w:rsidR="00774B60">
        <w:t>responders but</w:t>
      </w:r>
      <w:r w:rsidR="00EF725A">
        <w:t xml:space="preserve"> experienced some challenges due to the </w:t>
      </w:r>
      <w:r w:rsidR="006E43F6">
        <w:t xml:space="preserve">complexity of the incident. </w:t>
      </w:r>
      <w:r w:rsidR="003D437B">
        <w:t xml:space="preserve">Conflicting or rapidly changing guidance made this even more difficult in pandemic response. </w:t>
      </w:r>
      <w:r w:rsidR="006E43F6">
        <w:t>Getting access to testing continues to pose a challenge for agencies</w:t>
      </w:r>
      <w:r w:rsidR="003D437B">
        <w:t xml:space="preserve"> for both internal staff and external patient screening</w:t>
      </w:r>
      <w:r w:rsidR="006E43F6">
        <w:t xml:space="preserve">. Screening protocols </w:t>
      </w:r>
      <w:r w:rsidR="00A877C1">
        <w:t xml:space="preserve">and ensuring compliance with PPE standards were also widely cited as ongoing challenges. </w:t>
      </w:r>
      <w:r w:rsidR="003D437B">
        <w:t xml:space="preserve">Finally, having adequate supplies on hand was a challenge and ensuring PPE caches and stockpiles is critical in response to a PH incident of this magnitude. </w:t>
      </w:r>
    </w:p>
    <w:tbl>
      <w:tblPr>
        <w:tblW w:w="9720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D3C57" w:rsidRPr="00B51EF7" w14:paraId="6DB96639" w14:textId="77777777" w:rsidTr="00E954C6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3D43D118" w14:textId="74FF08F3" w:rsidR="007D3C57" w:rsidRPr="00F26D08" w:rsidRDefault="00B1750A" w:rsidP="00227C26">
            <w:pPr>
              <w:pStyle w:val="Heading2"/>
            </w:pPr>
            <w:bookmarkStart w:id="8" w:name="_Toc43662144"/>
            <w:bookmarkStart w:id="9" w:name="_Hlk43423938"/>
            <w:r w:rsidRPr="00A751E2">
              <w:rPr>
                <w:sz w:val="28"/>
                <w:szCs w:val="28"/>
              </w:rPr>
              <w:t>Capability 4 - Medical Surge</w:t>
            </w:r>
            <w:bookmarkEnd w:id="8"/>
          </w:p>
        </w:tc>
      </w:tr>
      <w:tr w:rsidR="00FC1C31" w:rsidRPr="00B51EF7" w14:paraId="35047C13" w14:textId="77777777" w:rsidTr="006D4477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2D51E9F" w14:textId="4FCFF602" w:rsidR="00FC1C31" w:rsidRDefault="00FC1C31" w:rsidP="000547D1">
            <w:pPr>
              <w:pStyle w:val="Heading6"/>
            </w:pPr>
            <w:r w:rsidRPr="008742DF">
              <w:rPr>
                <w:b/>
                <w:bCs/>
              </w:rPr>
              <w:t xml:space="preserve">Public Health </w:t>
            </w:r>
            <w:r w:rsidR="00126494" w:rsidRPr="008742DF">
              <w:rPr>
                <w:b/>
                <w:bCs/>
              </w:rPr>
              <w:t>Capabilit</w:t>
            </w:r>
            <w:r w:rsidR="00126494">
              <w:rPr>
                <w:b/>
                <w:bCs/>
              </w:rPr>
              <w:t>ies</w:t>
            </w:r>
            <w:r>
              <w:t xml:space="preserve">: </w:t>
            </w:r>
            <w:r w:rsidR="008742DF" w:rsidRPr="006B53F5">
              <w:rPr>
                <w:color w:val="auto"/>
              </w:rPr>
              <w:t>10</w:t>
            </w:r>
            <w:r w:rsidR="00126494">
              <w:rPr>
                <w:color w:val="auto"/>
              </w:rPr>
              <w:t xml:space="preserve">. </w:t>
            </w:r>
            <w:r w:rsidR="008742DF" w:rsidRPr="006B53F5">
              <w:rPr>
                <w:color w:val="auto"/>
              </w:rPr>
              <w:t>Medical Surge, 1</w:t>
            </w:r>
            <w:r w:rsidR="00126494">
              <w:rPr>
                <w:color w:val="auto"/>
              </w:rPr>
              <w:t>5.</w:t>
            </w:r>
            <w:r w:rsidR="008742DF" w:rsidRPr="006B53F5">
              <w:rPr>
                <w:color w:val="auto"/>
              </w:rPr>
              <w:t xml:space="preserve"> Volunteer Management</w:t>
            </w:r>
          </w:p>
        </w:tc>
      </w:tr>
      <w:tr w:rsidR="00FC1C31" w:rsidRPr="002A3DFD" w14:paraId="37108BA1" w14:textId="77777777" w:rsidTr="006D4477">
        <w:trPr>
          <w:tblHeader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2A2B543" w14:textId="163E85F9" w:rsidR="00FC1C31" w:rsidRDefault="00FC1C31" w:rsidP="000547D1">
            <w:pPr>
              <w:pStyle w:val="Heading6"/>
            </w:pPr>
            <w:r w:rsidRPr="008742DF">
              <w:rPr>
                <w:b/>
                <w:bCs/>
              </w:rPr>
              <w:t>FEMA Core Capabilit</w:t>
            </w:r>
            <w:r w:rsidR="00126494">
              <w:rPr>
                <w:b/>
                <w:bCs/>
              </w:rPr>
              <w:t>ies</w:t>
            </w:r>
            <w:r>
              <w:t xml:space="preserve">: </w:t>
            </w:r>
            <w:r w:rsidR="00EA31DE" w:rsidRPr="006B53F5">
              <w:rPr>
                <w:color w:val="auto"/>
              </w:rPr>
              <w:t>Operational Coordination, Situational Assessment</w:t>
            </w:r>
          </w:p>
        </w:tc>
      </w:tr>
    </w:tbl>
    <w:bookmarkEnd w:id="9"/>
    <w:p w14:paraId="60228D7F" w14:textId="7239DA3F" w:rsidR="003001E6" w:rsidRPr="00627148" w:rsidRDefault="003001E6" w:rsidP="00536387">
      <w:pPr>
        <w:pStyle w:val="Heading3"/>
        <w:spacing w:before="120"/>
      </w:pPr>
      <w:r>
        <w:t xml:space="preserve">Objective 1: </w:t>
      </w:r>
      <w:r w:rsidR="00F3603B" w:rsidRPr="00F3603B">
        <w:t>Plan for a Medical Surge</w:t>
      </w:r>
    </w:p>
    <w:p w14:paraId="289B2A90" w14:textId="77777777" w:rsidR="003001E6" w:rsidRPr="009F32B5" w:rsidRDefault="003001E6" w:rsidP="00FC41D2">
      <w:pPr>
        <w:pStyle w:val="Heading4"/>
        <w:spacing w:after="120"/>
      </w:pPr>
      <w:r w:rsidRPr="00AF31A5">
        <w:t>Strengths</w:t>
      </w:r>
    </w:p>
    <w:p w14:paraId="63BC9F97" w14:textId="61BCFCB0" w:rsidR="003001E6" w:rsidRDefault="000B182D" w:rsidP="000B182D">
      <w:pPr>
        <w:pStyle w:val="BodyText"/>
        <w:numPr>
          <w:ilvl w:val="0"/>
          <w:numId w:val="21"/>
        </w:numPr>
        <w:spacing w:after="120"/>
      </w:pPr>
      <w:r w:rsidRPr="000B182D">
        <w:rPr>
          <w:b/>
          <w:bCs/>
        </w:rPr>
        <w:t>Strength 1</w:t>
      </w:r>
      <w:r w:rsidRPr="000B182D">
        <w:t>: Good coordination between hospital systems, agencies, and local jurisdictions to understand surge capacity and plans.</w:t>
      </w:r>
    </w:p>
    <w:p w14:paraId="2A36E52C" w14:textId="7A3900F8" w:rsidR="000B182D" w:rsidRDefault="000B182D" w:rsidP="000B182D">
      <w:pPr>
        <w:pStyle w:val="BodyText"/>
        <w:numPr>
          <w:ilvl w:val="0"/>
          <w:numId w:val="21"/>
        </w:numPr>
        <w:spacing w:after="120"/>
      </w:pPr>
      <w:r w:rsidRPr="000B182D">
        <w:rPr>
          <w:b/>
          <w:bCs/>
        </w:rPr>
        <w:t>Strength 2</w:t>
      </w:r>
      <w:r>
        <w:t>: The Medical Surge process had been pre-identified and pre-planned.</w:t>
      </w:r>
    </w:p>
    <w:p w14:paraId="70573CA8" w14:textId="77777777" w:rsidR="003001E6" w:rsidRPr="00AF31A5" w:rsidRDefault="003001E6" w:rsidP="00FC41D2">
      <w:pPr>
        <w:pStyle w:val="Heading4"/>
        <w:spacing w:after="120"/>
      </w:pPr>
      <w:r w:rsidRPr="00AF31A5">
        <w:t>Areas for Improvement</w:t>
      </w:r>
    </w:p>
    <w:p w14:paraId="5DBEE78D" w14:textId="77A66B8F" w:rsidR="003001E6" w:rsidRDefault="003001E6" w:rsidP="00B43D73">
      <w:pPr>
        <w:pStyle w:val="BodyText"/>
        <w:numPr>
          <w:ilvl w:val="0"/>
          <w:numId w:val="23"/>
        </w:numPr>
        <w:spacing w:after="120"/>
      </w:pPr>
      <w:r w:rsidRPr="00B43D73">
        <w:rPr>
          <w:b/>
          <w:bCs/>
        </w:rPr>
        <w:t>Area for improvement 1</w:t>
      </w:r>
      <w:r w:rsidR="000B182D">
        <w:t xml:space="preserve">: </w:t>
      </w:r>
      <w:r w:rsidR="000B182D" w:rsidRPr="000B182D">
        <w:t>Alternate site planning was time consuming and did not come to fruition.</w:t>
      </w:r>
    </w:p>
    <w:p w14:paraId="46793F71" w14:textId="06B198D5" w:rsidR="00126494" w:rsidRDefault="00126494" w:rsidP="00B43D73">
      <w:pPr>
        <w:pStyle w:val="BodyText"/>
        <w:numPr>
          <w:ilvl w:val="0"/>
          <w:numId w:val="23"/>
        </w:numPr>
        <w:spacing w:after="120"/>
      </w:pPr>
      <w:r w:rsidRPr="00B43D73">
        <w:rPr>
          <w:b/>
          <w:bCs/>
        </w:rPr>
        <w:t xml:space="preserve">Area for improvement </w:t>
      </w:r>
      <w:r>
        <w:rPr>
          <w:b/>
          <w:bCs/>
        </w:rPr>
        <w:t>2</w:t>
      </w:r>
      <w:r>
        <w:t xml:space="preserve">: </w:t>
      </w:r>
      <w:r>
        <w:t xml:space="preserve">Need to coordinate with medical providers and hospitals ahead of time for surge planning to support their needs. Other supporting agencies cannot determine needs before healthcare has determined them. </w:t>
      </w:r>
    </w:p>
    <w:p w14:paraId="08A93543" w14:textId="3DF047B1" w:rsidR="000B0789" w:rsidRDefault="000B0789" w:rsidP="000B0789">
      <w:pPr>
        <w:pStyle w:val="BodyText"/>
        <w:spacing w:after="120"/>
      </w:pPr>
      <w:r w:rsidRPr="000B0789">
        <w:rPr>
          <w:rFonts w:eastAsiaTheme="majorEastAsia" w:cstheme="majorBidi"/>
          <w:b/>
          <w:bCs/>
          <w:iCs/>
          <w:color w:val="000080"/>
        </w:rPr>
        <w:t>Analysis of Objective</w:t>
      </w:r>
      <w:r>
        <w:t xml:space="preserve">: </w:t>
      </w:r>
      <w:r w:rsidR="00A722B6">
        <w:t xml:space="preserve">Coordination and pre-planning provided support for medical surge capabilities across the region. </w:t>
      </w:r>
      <w:r w:rsidR="00BE03D4">
        <w:t xml:space="preserve">Leveraging incident planning </w:t>
      </w:r>
      <w:r w:rsidR="003D437B">
        <w:t xml:space="preserve">from this response as the framework </w:t>
      </w:r>
      <w:r w:rsidR="003D437B">
        <w:lastRenderedPageBreak/>
        <w:t xml:space="preserve">for </w:t>
      </w:r>
      <w:r w:rsidR="00BE03D4">
        <w:t>future</w:t>
      </w:r>
      <w:r w:rsidR="00A722B6">
        <w:t xml:space="preserve"> alternate care site planning </w:t>
      </w:r>
      <w:r w:rsidR="00BE03D4">
        <w:t xml:space="preserve">could ease the burden of future activations. </w:t>
      </w:r>
      <w:r w:rsidR="003D437B">
        <w:t xml:space="preserve">ACS plans must be formalized and solidified as they were </w:t>
      </w:r>
      <w:r w:rsidR="00126494">
        <w:t>exceedingly difficult</w:t>
      </w:r>
      <w:r w:rsidR="003D437B">
        <w:t xml:space="preserve"> to build on the fly during response and should be well coordinated, </w:t>
      </w:r>
      <w:r w:rsidR="00126494">
        <w:t>planned,</w:t>
      </w:r>
      <w:r w:rsidR="003D437B">
        <w:t xml:space="preserve"> </w:t>
      </w:r>
      <w:r w:rsidR="00126494">
        <w:t>and approved by</w:t>
      </w:r>
      <w:r w:rsidR="003D437B">
        <w:t xml:space="preserve"> all critical partners</w:t>
      </w:r>
      <w:r w:rsidR="00126494">
        <w:t xml:space="preserve"> prior to their activation</w:t>
      </w:r>
      <w:r w:rsidR="003D437B">
        <w:t xml:space="preserve">. </w:t>
      </w:r>
    </w:p>
    <w:p w14:paraId="65A4CAA8" w14:textId="151FBCEF" w:rsidR="003001E6" w:rsidRPr="00ED76A7" w:rsidRDefault="003001E6" w:rsidP="00536387">
      <w:pPr>
        <w:pStyle w:val="Heading3"/>
        <w:spacing w:before="360"/>
      </w:pPr>
      <w:r>
        <w:t>Objective 2:</w:t>
      </w:r>
      <w:r w:rsidRPr="00ED76A7">
        <w:t xml:space="preserve"> </w:t>
      </w:r>
      <w:r w:rsidR="00DE167B" w:rsidRPr="00DE167B">
        <w:t>Respond to a Medical Surge</w:t>
      </w:r>
    </w:p>
    <w:p w14:paraId="7DFF73F5" w14:textId="77777777" w:rsidR="003001E6" w:rsidRPr="00AF31A5" w:rsidRDefault="003001E6" w:rsidP="00FC41D2">
      <w:pPr>
        <w:pStyle w:val="Heading4"/>
        <w:spacing w:after="120"/>
      </w:pPr>
      <w:r w:rsidRPr="00AF31A5">
        <w:t>Strengths</w:t>
      </w:r>
    </w:p>
    <w:p w14:paraId="58AFDAED" w14:textId="268FEBFE" w:rsidR="000B182D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>Strength 1</w:t>
      </w:r>
      <w:r>
        <w:t xml:space="preserve">: The need for isolation was identified and implemented early in the incident. Hospitals utilized isolation units for COVID-19 patients early in the incident and expanded isolation areas for COVID-19 patients. </w:t>
      </w:r>
    </w:p>
    <w:p w14:paraId="6D6EA909" w14:textId="24F14227" w:rsidR="000B182D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>Strength 2</w:t>
      </w:r>
      <w:r>
        <w:t xml:space="preserve">: Region-wide, hospitals, agencies and jurisdictions planned for a possible surge of patients. Additional capacity was identified through alternate buildings, mobile hospital surge </w:t>
      </w:r>
      <w:r w:rsidR="00865CDA">
        <w:t>trailers</w:t>
      </w:r>
      <w:r>
        <w:t xml:space="preserve">, motels for transient patients, filing a waiver through CMS to increase bed capacity, planning to convert dorms into alternate care facilities, leveraging buildings from local school districts, using local fairgrounds, and converting/repurposing rooms. Respondents were able to identify 277 additional beds across the region. </w:t>
      </w:r>
    </w:p>
    <w:p w14:paraId="4957B089" w14:textId="77777777" w:rsidR="000B182D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>Strength 4</w:t>
      </w:r>
      <w:r>
        <w:t xml:space="preserve">: Volunteers supported in many tasks, including: screening (temperature and symptom checks), triage, staffing handwashing stations, assisting staff in isolation/recovery services for those experiencing homelessness, and providing food/grocery deliveries to sick or vulnerable populations. </w:t>
      </w:r>
    </w:p>
    <w:p w14:paraId="441C51C2" w14:textId="3BB77A8B" w:rsidR="000B182D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 xml:space="preserve">Strength </w:t>
      </w:r>
      <w:r>
        <w:rPr>
          <w:b/>
          <w:bCs/>
        </w:rPr>
        <w:t>5</w:t>
      </w:r>
      <w:r>
        <w:t xml:space="preserve">: </w:t>
      </w:r>
      <w:r w:rsidR="00865CDA">
        <w:t>Collaboration</w:t>
      </w:r>
      <w:r>
        <w:t xml:space="preserve"> between </w:t>
      </w:r>
      <w:r w:rsidR="00774B60">
        <w:t>Larimer</w:t>
      </w:r>
      <w:r>
        <w:t xml:space="preserve"> County, national Guard, State to establish alternate care site that can be expanded. </w:t>
      </w:r>
    </w:p>
    <w:p w14:paraId="0D795F17" w14:textId="52B538BE" w:rsidR="000B182D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>Strength</w:t>
      </w:r>
      <w:r>
        <w:t xml:space="preserve"> </w:t>
      </w:r>
      <w:r w:rsidRPr="000B182D">
        <w:rPr>
          <w:b/>
          <w:bCs/>
        </w:rPr>
        <w:t>6</w:t>
      </w:r>
      <w:r>
        <w:t xml:space="preserve">: Screening was conducted for individuals experiencing homelessness. </w:t>
      </w:r>
    </w:p>
    <w:p w14:paraId="0441A025" w14:textId="207055C4" w:rsidR="000B182D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>Strength</w:t>
      </w:r>
      <w:r>
        <w:t xml:space="preserve"> </w:t>
      </w:r>
      <w:r w:rsidRPr="000B182D">
        <w:rPr>
          <w:b/>
          <w:bCs/>
        </w:rPr>
        <w:t>7</w:t>
      </w:r>
      <w:r>
        <w:t xml:space="preserve">: Contact tracing and care management was conducted for those that were tested. </w:t>
      </w:r>
    </w:p>
    <w:p w14:paraId="2DE0BEEF" w14:textId="01B7F21E" w:rsidR="003001E6" w:rsidRDefault="000B182D" w:rsidP="000B182D">
      <w:pPr>
        <w:pStyle w:val="BodyText"/>
        <w:numPr>
          <w:ilvl w:val="0"/>
          <w:numId w:val="22"/>
        </w:numPr>
        <w:spacing w:after="120"/>
      </w:pPr>
      <w:r w:rsidRPr="000B182D">
        <w:rPr>
          <w:b/>
          <w:bCs/>
        </w:rPr>
        <w:t>Strength 8</w:t>
      </w:r>
      <w:r>
        <w:t>: Strategies for critical ground support and EMS capabilities identified.</w:t>
      </w:r>
    </w:p>
    <w:p w14:paraId="22099DB5" w14:textId="77777777" w:rsidR="003001E6" w:rsidRPr="00AF31A5" w:rsidRDefault="003001E6" w:rsidP="00FC41D2">
      <w:pPr>
        <w:pStyle w:val="Heading4"/>
        <w:spacing w:after="120"/>
      </w:pPr>
      <w:r w:rsidRPr="00AF31A5">
        <w:t>Areas for Improvement</w:t>
      </w:r>
    </w:p>
    <w:p w14:paraId="65F3FC26" w14:textId="63D9912F" w:rsidR="003001E6" w:rsidRDefault="00E645EE" w:rsidP="00E645EE">
      <w:pPr>
        <w:pStyle w:val="BodyText"/>
        <w:numPr>
          <w:ilvl w:val="0"/>
          <w:numId w:val="24"/>
        </w:numPr>
        <w:spacing w:after="120"/>
      </w:pPr>
      <w:r w:rsidRPr="00E645EE">
        <w:rPr>
          <w:b/>
          <w:bCs/>
        </w:rPr>
        <w:t>Area for Improvement 1</w:t>
      </w:r>
      <w:r>
        <w:t xml:space="preserve">: </w:t>
      </w:r>
      <w:r w:rsidR="00F16C13">
        <w:t xml:space="preserve">Distribution of food, sanitation, medical direction, and licensing across communities posed a challenge. </w:t>
      </w:r>
    </w:p>
    <w:p w14:paraId="2CA3930A" w14:textId="5CA17F1A" w:rsidR="00F16C13" w:rsidRDefault="00F16C13" w:rsidP="00E645EE">
      <w:pPr>
        <w:pStyle w:val="BodyText"/>
        <w:numPr>
          <w:ilvl w:val="0"/>
          <w:numId w:val="24"/>
        </w:numPr>
        <w:spacing w:after="120"/>
      </w:pPr>
      <w:r>
        <w:rPr>
          <w:b/>
          <w:bCs/>
        </w:rPr>
        <w:t>Area for Improvement 2</w:t>
      </w:r>
      <w:r w:rsidRPr="00F16C13">
        <w:t>:</w:t>
      </w:r>
      <w:r>
        <w:t xml:space="preserve"> Long-term care facilities</w:t>
      </w:r>
      <w:r w:rsidR="00AD400D">
        <w:t xml:space="preserve"> should be prioritized for </w:t>
      </w:r>
      <w:r w:rsidR="002500BF">
        <w:t xml:space="preserve">testing, training, and PPE. </w:t>
      </w:r>
    </w:p>
    <w:p w14:paraId="2644267D" w14:textId="77777777" w:rsidR="00705203" w:rsidRDefault="001452FF" w:rsidP="00E645EE">
      <w:pPr>
        <w:pStyle w:val="BodyText"/>
        <w:numPr>
          <w:ilvl w:val="0"/>
          <w:numId w:val="24"/>
        </w:numPr>
        <w:spacing w:after="120"/>
      </w:pPr>
      <w:r>
        <w:rPr>
          <w:b/>
          <w:bCs/>
        </w:rPr>
        <w:t>Area for Improvement 3</w:t>
      </w:r>
      <w:r w:rsidRPr="001452FF">
        <w:t>:</w:t>
      </w:r>
      <w:r>
        <w:t xml:space="preserve"> </w:t>
      </w:r>
      <w:r w:rsidR="00705203">
        <w:t>PPE and oxygen shortages limited the use of mobile hospital surge trailers, which could have supported 50 additional patients.</w:t>
      </w:r>
    </w:p>
    <w:p w14:paraId="36F02E72" w14:textId="707DC074" w:rsidR="004E294C" w:rsidRDefault="00705203" w:rsidP="004E294C">
      <w:pPr>
        <w:pStyle w:val="BodyText"/>
        <w:numPr>
          <w:ilvl w:val="0"/>
          <w:numId w:val="24"/>
        </w:numPr>
        <w:spacing w:after="120"/>
      </w:pPr>
      <w:r>
        <w:rPr>
          <w:b/>
          <w:bCs/>
        </w:rPr>
        <w:t>Area for Improvement 4</w:t>
      </w:r>
      <w:r w:rsidRPr="00705203">
        <w:t>:</w:t>
      </w:r>
      <w:r>
        <w:t xml:space="preserve"> Some essential services, such as the Coroner’s Offices</w:t>
      </w:r>
      <w:r w:rsidR="004E294C">
        <w:t xml:space="preserve"> across the region, were not eligible for PPE</w:t>
      </w:r>
      <w:r w:rsidR="00126494">
        <w:t>, which made responding difficult or impossible</w:t>
      </w:r>
      <w:r w:rsidR="004E294C">
        <w:t xml:space="preserve">. </w:t>
      </w:r>
      <w:r>
        <w:t xml:space="preserve"> </w:t>
      </w:r>
    </w:p>
    <w:p w14:paraId="6828C22B" w14:textId="65505733" w:rsidR="00BE03D4" w:rsidRDefault="00BE03D4" w:rsidP="00BE03D4">
      <w:pPr>
        <w:pStyle w:val="BodyText"/>
        <w:spacing w:before="200" w:after="120"/>
      </w:pPr>
      <w:r w:rsidRPr="000B0789">
        <w:rPr>
          <w:rFonts w:eastAsiaTheme="majorEastAsia" w:cstheme="majorBidi"/>
          <w:b/>
          <w:bCs/>
          <w:iCs/>
          <w:color w:val="000080"/>
        </w:rPr>
        <w:t>Analysis of Objective</w:t>
      </w:r>
      <w:r>
        <w:t xml:space="preserve">: </w:t>
      </w:r>
      <w:r w:rsidR="003F48E7">
        <w:t xml:space="preserve">Pre-established relationships supported collaboration across regional initiatives and volunteer </w:t>
      </w:r>
      <w:r w:rsidR="0024155C">
        <w:t xml:space="preserve">efforts supported </w:t>
      </w:r>
      <w:r w:rsidR="003D437B">
        <w:t xml:space="preserve">some </w:t>
      </w:r>
      <w:r w:rsidR="0024155C">
        <w:t>initiatives. Respondents cited pre-planning combined with creativity and flexibility as</w:t>
      </w:r>
      <w:r w:rsidR="00AD400D">
        <w:t xml:space="preserve"> methods for effective problem solving. </w:t>
      </w:r>
      <w:r w:rsidR="002500BF">
        <w:t xml:space="preserve">Supply shortages inhibited some ability to utilize pre-existing medical surge </w:t>
      </w:r>
      <w:r w:rsidR="001B785B">
        <w:t xml:space="preserve">resources. </w:t>
      </w:r>
      <w:r w:rsidR="003D437B">
        <w:t xml:space="preserve">Additional planning for volunteer use among HCC members will be a focus over the next year. </w:t>
      </w:r>
    </w:p>
    <w:p w14:paraId="67662ABF" w14:textId="234D1768" w:rsidR="00FB3E26" w:rsidRDefault="00FB3E26" w:rsidP="000B0789">
      <w:pPr>
        <w:pStyle w:val="BodyText"/>
        <w:spacing w:before="200" w:after="240"/>
        <w:sectPr w:rsidR="00FB3E26" w:rsidSect="00A751E2">
          <w:headerReference w:type="default" r:id="rId21"/>
          <w:footerReference w:type="default" r:id="rId22"/>
          <w:pgSz w:w="12240" w:h="15840" w:code="1"/>
          <w:pgMar w:top="1440" w:right="1440" w:bottom="1260" w:left="1440" w:header="432" w:footer="432" w:gutter="0"/>
          <w:cols w:space="720"/>
          <w:docGrid w:linePitch="360"/>
        </w:sectPr>
      </w:pPr>
    </w:p>
    <w:p w14:paraId="7D9C19DC" w14:textId="7FE37575" w:rsidR="00352634" w:rsidRDefault="00352634" w:rsidP="00352634">
      <w:pPr>
        <w:pStyle w:val="Heading1"/>
        <w:ind w:left="720"/>
      </w:pPr>
      <w:bookmarkStart w:id="10" w:name="_Toc336506608"/>
      <w:bookmarkStart w:id="11" w:name="_Toc43662145"/>
      <w:r>
        <w:lastRenderedPageBreak/>
        <w:t>Appendix</w:t>
      </w:r>
      <w:r w:rsidR="00654BD7">
        <w:t xml:space="preserve"> A</w:t>
      </w:r>
      <w:r>
        <w:t xml:space="preserve">:  </w:t>
      </w:r>
      <w:bookmarkEnd w:id="10"/>
      <w:r w:rsidR="00654BD7">
        <w:t>Participating Agencies</w:t>
      </w:r>
      <w:bookmarkEnd w:id="11"/>
    </w:p>
    <w:p w14:paraId="3F83456F" w14:textId="38BCE96F" w:rsidR="00654BD7" w:rsidRPr="00654BD7" w:rsidRDefault="00654BD7" w:rsidP="00654BD7">
      <w:pPr>
        <w:pStyle w:val="BodyText"/>
      </w:pPr>
      <w:r>
        <w:t xml:space="preserve">The following is a list of agencies </w:t>
      </w:r>
      <w:r w:rsidR="0033167D">
        <w:t xml:space="preserve">(41) </w:t>
      </w:r>
      <w:r>
        <w:t xml:space="preserve">who participated in the NERHCC Survey and provided feedback and lessons learned from their individual responses and local / regional support. </w:t>
      </w:r>
    </w:p>
    <w:p w14:paraId="5AD6E57C" w14:textId="77777777" w:rsidR="00654BD7" w:rsidRP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Campus Clinics</w:t>
      </w:r>
    </w:p>
    <w:p w14:paraId="2ABBFDA2" w14:textId="77777777" w:rsid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Centennial Mental Health Center</w:t>
      </w:r>
    </w:p>
    <w:p w14:paraId="36BDE493" w14:textId="77777777" w:rsid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Cheyenne County</w:t>
      </w:r>
    </w:p>
    <w:p w14:paraId="3D43CE12" w14:textId="77777777" w:rsid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Cheyenne County Emergency Management</w:t>
      </w:r>
    </w:p>
    <w:p w14:paraId="5620884E" w14:textId="77777777" w:rsid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Cheyenne County Hospital District</w:t>
      </w:r>
    </w:p>
    <w:p w14:paraId="3F20A359" w14:textId="77777777" w:rsid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Cheyenne County Public Health</w:t>
      </w:r>
    </w:p>
    <w:p w14:paraId="5FC52440" w14:textId="77777777" w:rsidR="00654BD7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Colorado Plains Medical Center</w:t>
      </w:r>
    </w:p>
    <w:p w14:paraId="1420FA79" w14:textId="77777777" w:rsidR="00654BD7" w:rsidRPr="00A751E2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 xml:space="preserve">City </w:t>
      </w:r>
      <w:r w:rsidRPr="00A751E2">
        <w:rPr>
          <w:sz w:val="22"/>
          <w:szCs w:val="22"/>
        </w:rPr>
        <w:t>of Greely Office of Emergency Management</w:t>
      </w:r>
    </w:p>
    <w:p w14:paraId="7D408010" w14:textId="77777777" w:rsidR="00654BD7" w:rsidRPr="00A751E2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A751E2">
        <w:rPr>
          <w:sz w:val="22"/>
          <w:szCs w:val="22"/>
        </w:rPr>
        <w:t>Colorado State University Health Network</w:t>
      </w:r>
    </w:p>
    <w:p w14:paraId="77FCE5A1" w14:textId="5095B65F" w:rsidR="00654BD7" w:rsidRPr="00A751E2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proofErr w:type="spellStart"/>
      <w:r w:rsidRPr="00A751E2">
        <w:rPr>
          <w:sz w:val="22"/>
          <w:szCs w:val="22"/>
        </w:rPr>
        <w:t>Eben</w:t>
      </w:r>
      <w:proofErr w:type="spellEnd"/>
      <w:r w:rsidRPr="00A751E2">
        <w:rPr>
          <w:sz w:val="22"/>
          <w:szCs w:val="22"/>
        </w:rPr>
        <w:t xml:space="preserve"> </w:t>
      </w:r>
      <w:proofErr w:type="spellStart"/>
      <w:r w:rsidRPr="00A751E2">
        <w:rPr>
          <w:sz w:val="22"/>
          <w:szCs w:val="22"/>
        </w:rPr>
        <w:t>Ezer</w:t>
      </w:r>
      <w:proofErr w:type="spellEnd"/>
      <w:r w:rsidR="00A751E2" w:rsidRPr="00A751E2">
        <w:rPr>
          <w:sz w:val="22"/>
          <w:szCs w:val="22"/>
        </w:rPr>
        <w:t xml:space="preserve"> Lutheran Care Center</w:t>
      </w:r>
    </w:p>
    <w:p w14:paraId="09602712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Greely Center for Independence</w:t>
      </w:r>
    </w:p>
    <w:p w14:paraId="0AA99B98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Good Samaritan Society Fort Collins Village</w:t>
      </w:r>
    </w:p>
    <w:p w14:paraId="0FB10ECF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Grace Pointe</w:t>
      </w:r>
    </w:p>
    <w:p w14:paraId="17B7F395" w14:textId="66E16947" w:rsidR="0033167D" w:rsidRDefault="0033167D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Haxtun</w:t>
      </w:r>
      <w:r w:rsidR="00654BD7" w:rsidRPr="00654BD7">
        <w:rPr>
          <w:sz w:val="22"/>
          <w:szCs w:val="22"/>
        </w:rPr>
        <w:t xml:space="preserve"> Hospital District</w:t>
      </w:r>
    </w:p>
    <w:p w14:paraId="466F5994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Health District of Northern Larimer County</w:t>
      </w:r>
    </w:p>
    <w:p w14:paraId="2CB696DD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Keefe Memorial Hospital</w:t>
      </w:r>
    </w:p>
    <w:p w14:paraId="1C498E49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Kit Carson County</w:t>
      </w:r>
    </w:p>
    <w:p w14:paraId="74FBEEAF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Larimer County Coroner</w:t>
      </w:r>
    </w:p>
    <w:p w14:paraId="6340209D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Lincoln Community Hospital and Care Center</w:t>
      </w:r>
    </w:p>
    <w:p w14:paraId="1FB57179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Lincoln Health</w:t>
      </w:r>
    </w:p>
    <w:p w14:paraId="78EC8DF1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Morgan County Coroner Office</w:t>
      </w:r>
    </w:p>
    <w:p w14:paraId="354EA74C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Morgan County Office of Emergency Management</w:t>
      </w:r>
    </w:p>
    <w:p w14:paraId="3D912B9E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Kit Carson County</w:t>
      </w:r>
    </w:p>
    <w:p w14:paraId="6E629DF6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North Colorado Health Alliance</w:t>
      </w:r>
    </w:p>
    <w:p w14:paraId="6AC7DEB4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Northeast Colorado RETAC</w:t>
      </w:r>
    </w:p>
    <w:p w14:paraId="62DBAA33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Northern Colorado Health Department</w:t>
      </w:r>
    </w:p>
    <w:p w14:paraId="5C2D7660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North Range Behavioral Health</w:t>
      </w:r>
    </w:p>
    <w:p w14:paraId="4CB3AFFD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Rehabilitation and Nursing Center of the Rockies</w:t>
      </w:r>
    </w:p>
    <w:p w14:paraId="6AD95E81" w14:textId="77777777" w:rsidR="0033167D" w:rsidRDefault="0033167D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S</w:t>
      </w:r>
      <w:r w:rsidR="00654BD7" w:rsidRPr="00654BD7">
        <w:rPr>
          <w:sz w:val="22"/>
          <w:szCs w:val="22"/>
        </w:rPr>
        <w:t>edgwick County Ambulance Service</w:t>
      </w:r>
    </w:p>
    <w:p w14:paraId="6D58BE13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Sedgwick County Coroner</w:t>
      </w:r>
    </w:p>
    <w:p w14:paraId="4474C2F6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Sedgwick County Health Center</w:t>
      </w:r>
    </w:p>
    <w:p w14:paraId="0D351CEC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Sedgwick County Office of Emergency Management</w:t>
      </w:r>
    </w:p>
    <w:p w14:paraId="0BD31A61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Tender Care Pediatric Services</w:t>
      </w:r>
    </w:p>
    <w:p w14:paraId="0728F4A0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Thompson Valley EMS</w:t>
      </w:r>
    </w:p>
    <w:p w14:paraId="18DCE2CD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proofErr w:type="spellStart"/>
      <w:r w:rsidRPr="00654BD7">
        <w:rPr>
          <w:sz w:val="22"/>
          <w:szCs w:val="22"/>
        </w:rPr>
        <w:t>UCHealth</w:t>
      </w:r>
      <w:proofErr w:type="spellEnd"/>
      <w:r w:rsidRPr="00654BD7">
        <w:rPr>
          <w:sz w:val="22"/>
          <w:szCs w:val="22"/>
        </w:rPr>
        <w:t xml:space="preserve"> Medical Center of the Rockies</w:t>
      </w:r>
    </w:p>
    <w:p w14:paraId="12ED7117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Valley View Villa</w:t>
      </w:r>
    </w:p>
    <w:p w14:paraId="121D8A90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Washington County Emergency Management</w:t>
      </w:r>
    </w:p>
    <w:p w14:paraId="36DB8D1E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Weld County Department of Public Health and Environment</w:t>
      </w:r>
    </w:p>
    <w:p w14:paraId="3F6D7DE5" w14:textId="77777777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Wray Community District Hospital</w:t>
      </w:r>
    </w:p>
    <w:p w14:paraId="02F17F60" w14:textId="6808E638" w:rsidR="0033167D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</w:pPr>
      <w:r w:rsidRPr="00654BD7">
        <w:rPr>
          <w:sz w:val="22"/>
          <w:szCs w:val="22"/>
        </w:rPr>
        <w:t>Yuma County</w:t>
      </w:r>
      <w:r w:rsidR="0033167D">
        <w:rPr>
          <w:sz w:val="22"/>
          <w:szCs w:val="22"/>
        </w:rPr>
        <w:t xml:space="preserve"> Office of Emergency Management</w:t>
      </w:r>
    </w:p>
    <w:p w14:paraId="68D38034" w14:textId="77777777" w:rsidR="004E189A" w:rsidRDefault="00654BD7" w:rsidP="00654BD7">
      <w:pPr>
        <w:pStyle w:val="ListParagraph"/>
        <w:numPr>
          <w:ilvl w:val="0"/>
          <w:numId w:val="111"/>
        </w:numPr>
        <w:spacing w:after="40"/>
        <w:rPr>
          <w:sz w:val="22"/>
          <w:szCs w:val="22"/>
        </w:rPr>
        <w:sectPr w:rsidR="004E189A" w:rsidSect="00100665">
          <w:footerReference w:type="default" r:id="rId23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654BD7">
        <w:rPr>
          <w:sz w:val="22"/>
          <w:szCs w:val="22"/>
        </w:rPr>
        <w:t xml:space="preserve">Yuma District Hospital </w:t>
      </w:r>
    </w:p>
    <w:p w14:paraId="3BE22672" w14:textId="143AE4E1" w:rsidR="00654BD7" w:rsidRPr="00654BD7" w:rsidRDefault="00654BD7" w:rsidP="00654BD7">
      <w:pPr>
        <w:pStyle w:val="Heading1"/>
        <w:ind w:left="720"/>
      </w:pPr>
      <w:bookmarkStart w:id="12" w:name="_Toc43662146"/>
      <w:r>
        <w:lastRenderedPageBreak/>
        <w:t xml:space="preserve">Appendix B:  </w:t>
      </w:r>
      <w:r w:rsidRPr="00FE6282">
        <w:t>Acronyms</w:t>
      </w:r>
      <w:bookmarkEnd w:id="12"/>
    </w:p>
    <w:p w14:paraId="689914D7" w14:textId="77777777" w:rsidR="00352634" w:rsidRDefault="00352634" w:rsidP="00352634">
      <w:pPr>
        <w:pStyle w:val="BodyText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6840"/>
      </w:tblGrid>
      <w:tr w:rsidR="00352634" w:rsidRPr="00A47BFC" w14:paraId="750C95E3" w14:textId="77777777" w:rsidTr="00352634">
        <w:trPr>
          <w:tblHeader/>
          <w:jc w:val="center"/>
        </w:trPr>
        <w:tc>
          <w:tcPr>
            <w:tcW w:w="1224" w:type="dxa"/>
            <w:tcBorders>
              <w:right w:val="single" w:sz="4" w:space="0" w:color="FFFFFF"/>
            </w:tcBorders>
            <w:shd w:val="clear" w:color="auto" w:fill="000080"/>
          </w:tcPr>
          <w:p w14:paraId="53C16920" w14:textId="77777777" w:rsidR="00352634" w:rsidRPr="00A47BFC" w:rsidRDefault="00352634" w:rsidP="0035263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C">
              <w:rPr>
                <w:rFonts w:ascii="Arial" w:hAnsi="Arial" w:cs="Arial"/>
                <w:b/>
                <w:sz w:val="20"/>
                <w:szCs w:val="20"/>
              </w:rPr>
              <w:t>Acronym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shd w:val="clear" w:color="auto" w:fill="000080"/>
          </w:tcPr>
          <w:p w14:paraId="3DEAD57B" w14:textId="77777777" w:rsidR="00352634" w:rsidRPr="00A47BFC" w:rsidRDefault="00352634" w:rsidP="0035263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BF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</w:tr>
      <w:tr w:rsidR="00352634" w:rsidRPr="00A47BFC" w14:paraId="2535262B" w14:textId="77777777" w:rsidTr="00352634">
        <w:trPr>
          <w:jc w:val="center"/>
        </w:trPr>
        <w:tc>
          <w:tcPr>
            <w:tcW w:w="1224" w:type="dxa"/>
          </w:tcPr>
          <w:p w14:paraId="7EDF2D3B" w14:textId="439FD490" w:rsidR="00352634" w:rsidRPr="0033167D" w:rsidRDefault="00CC7C71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CDPHE</w:t>
            </w:r>
          </w:p>
        </w:tc>
        <w:tc>
          <w:tcPr>
            <w:tcW w:w="6840" w:type="dxa"/>
          </w:tcPr>
          <w:p w14:paraId="52D735BB" w14:textId="66EB5F65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Colorado Department of Public Health and Environment</w:t>
            </w:r>
          </w:p>
        </w:tc>
      </w:tr>
      <w:tr w:rsidR="00352634" w:rsidRPr="00A47BFC" w14:paraId="4A7A1E12" w14:textId="77777777" w:rsidTr="00352634">
        <w:trPr>
          <w:jc w:val="center"/>
        </w:trPr>
        <w:tc>
          <w:tcPr>
            <w:tcW w:w="1224" w:type="dxa"/>
          </w:tcPr>
          <w:p w14:paraId="0306144B" w14:textId="768A6CD0" w:rsidR="00352634" w:rsidRPr="0033167D" w:rsidRDefault="00CC7C71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CMS</w:t>
            </w:r>
          </w:p>
        </w:tc>
        <w:tc>
          <w:tcPr>
            <w:tcW w:w="6840" w:type="dxa"/>
          </w:tcPr>
          <w:p w14:paraId="1B453E77" w14:textId="78C4D24F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Center for Medicare and Medicaid Services</w:t>
            </w:r>
          </w:p>
        </w:tc>
      </w:tr>
      <w:tr w:rsidR="00352634" w:rsidRPr="00A47BFC" w14:paraId="23C92323" w14:textId="77777777" w:rsidTr="00352634">
        <w:trPr>
          <w:jc w:val="center"/>
        </w:trPr>
        <w:tc>
          <w:tcPr>
            <w:tcW w:w="1224" w:type="dxa"/>
          </w:tcPr>
          <w:p w14:paraId="49E063EB" w14:textId="7098164B" w:rsidR="00352634" w:rsidRPr="0033167D" w:rsidRDefault="00CC7C71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DHSEM</w:t>
            </w:r>
          </w:p>
        </w:tc>
        <w:tc>
          <w:tcPr>
            <w:tcW w:w="6840" w:type="dxa"/>
          </w:tcPr>
          <w:p w14:paraId="4065FDDF" w14:textId="31B03B14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Colorado Department of Homeland Security and Emergency Management</w:t>
            </w:r>
          </w:p>
        </w:tc>
      </w:tr>
      <w:tr w:rsidR="00352634" w:rsidRPr="00A47BFC" w14:paraId="5FFAA403" w14:textId="77777777" w:rsidTr="00352634">
        <w:trPr>
          <w:jc w:val="center"/>
        </w:trPr>
        <w:tc>
          <w:tcPr>
            <w:tcW w:w="1224" w:type="dxa"/>
          </w:tcPr>
          <w:p w14:paraId="7655C85C" w14:textId="68F17256" w:rsidR="00352634" w:rsidRPr="0033167D" w:rsidRDefault="00CC7C71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DOC</w:t>
            </w:r>
          </w:p>
        </w:tc>
        <w:tc>
          <w:tcPr>
            <w:tcW w:w="6840" w:type="dxa"/>
          </w:tcPr>
          <w:p w14:paraId="53F458AC" w14:textId="5A0C0693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Department Operations Center</w:t>
            </w:r>
          </w:p>
        </w:tc>
      </w:tr>
      <w:tr w:rsidR="00352634" w:rsidRPr="00A47BFC" w14:paraId="6FFCECDA" w14:textId="77777777" w:rsidTr="00352634">
        <w:trPr>
          <w:jc w:val="center"/>
        </w:trPr>
        <w:tc>
          <w:tcPr>
            <w:tcW w:w="1224" w:type="dxa"/>
          </w:tcPr>
          <w:p w14:paraId="2D72E5A7" w14:textId="781548FC" w:rsidR="00352634" w:rsidRPr="0033167D" w:rsidRDefault="00CC7C71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EOC</w:t>
            </w:r>
          </w:p>
        </w:tc>
        <w:tc>
          <w:tcPr>
            <w:tcW w:w="6840" w:type="dxa"/>
          </w:tcPr>
          <w:p w14:paraId="2BE0F3FD" w14:textId="618EA2FD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Emergency Operations Center</w:t>
            </w:r>
          </w:p>
        </w:tc>
      </w:tr>
      <w:tr w:rsidR="00352634" w:rsidRPr="00A47BFC" w14:paraId="6ED65051" w14:textId="77777777" w:rsidTr="00352634">
        <w:trPr>
          <w:jc w:val="center"/>
        </w:trPr>
        <w:tc>
          <w:tcPr>
            <w:tcW w:w="1224" w:type="dxa"/>
          </w:tcPr>
          <w:p w14:paraId="55174D06" w14:textId="44174740" w:rsidR="00352634" w:rsidRPr="0033167D" w:rsidRDefault="00CC7C71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ESF</w:t>
            </w:r>
          </w:p>
        </w:tc>
        <w:tc>
          <w:tcPr>
            <w:tcW w:w="6840" w:type="dxa"/>
          </w:tcPr>
          <w:p w14:paraId="79F2B352" w14:textId="26783E63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Emergency Support Function</w:t>
            </w:r>
          </w:p>
        </w:tc>
      </w:tr>
      <w:tr w:rsidR="00352634" w:rsidRPr="00A47BFC" w14:paraId="57DE2263" w14:textId="77777777" w:rsidTr="00352634">
        <w:trPr>
          <w:jc w:val="center"/>
        </w:trPr>
        <w:tc>
          <w:tcPr>
            <w:tcW w:w="1224" w:type="dxa"/>
          </w:tcPr>
          <w:p w14:paraId="2ED41343" w14:textId="597EA5F9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HCC</w:t>
            </w:r>
          </w:p>
        </w:tc>
        <w:tc>
          <w:tcPr>
            <w:tcW w:w="6840" w:type="dxa"/>
          </w:tcPr>
          <w:p w14:paraId="18F3B11B" w14:textId="33F09A1E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Health Care Coalition</w:t>
            </w:r>
          </w:p>
        </w:tc>
      </w:tr>
      <w:tr w:rsidR="00352634" w:rsidRPr="00A47BFC" w14:paraId="6037ECD7" w14:textId="77777777" w:rsidTr="00352634">
        <w:trPr>
          <w:jc w:val="center"/>
        </w:trPr>
        <w:tc>
          <w:tcPr>
            <w:tcW w:w="1224" w:type="dxa"/>
          </w:tcPr>
          <w:p w14:paraId="7FDA1809" w14:textId="7617E3F6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JIC</w:t>
            </w:r>
          </w:p>
        </w:tc>
        <w:tc>
          <w:tcPr>
            <w:tcW w:w="6840" w:type="dxa"/>
          </w:tcPr>
          <w:p w14:paraId="6CD91CEF" w14:textId="6F0E34E3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Joint Information Center</w:t>
            </w:r>
          </w:p>
        </w:tc>
      </w:tr>
      <w:tr w:rsidR="00352634" w:rsidRPr="00A47BFC" w14:paraId="7B9A62D4" w14:textId="77777777" w:rsidTr="00352634">
        <w:trPr>
          <w:jc w:val="center"/>
        </w:trPr>
        <w:tc>
          <w:tcPr>
            <w:tcW w:w="1224" w:type="dxa"/>
          </w:tcPr>
          <w:p w14:paraId="5C85E339" w14:textId="3F9F5AEE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NERHCC</w:t>
            </w:r>
          </w:p>
        </w:tc>
        <w:tc>
          <w:tcPr>
            <w:tcW w:w="6840" w:type="dxa"/>
          </w:tcPr>
          <w:p w14:paraId="176AE9DC" w14:textId="2F7246BB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Northeast Region Health Care Coalition</w:t>
            </w:r>
          </w:p>
        </w:tc>
      </w:tr>
      <w:tr w:rsidR="0033167D" w:rsidRPr="00A47BFC" w14:paraId="57B901B4" w14:textId="77777777" w:rsidTr="00352634">
        <w:trPr>
          <w:jc w:val="center"/>
        </w:trPr>
        <w:tc>
          <w:tcPr>
            <w:tcW w:w="1224" w:type="dxa"/>
          </w:tcPr>
          <w:p w14:paraId="58439C6A" w14:textId="07273BA6" w:rsidR="0033167D" w:rsidRPr="0033167D" w:rsidRDefault="0033167D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</w:t>
            </w:r>
          </w:p>
        </w:tc>
        <w:tc>
          <w:tcPr>
            <w:tcW w:w="6840" w:type="dxa"/>
          </w:tcPr>
          <w:p w14:paraId="34D4832C" w14:textId="593341C2" w:rsidR="0033167D" w:rsidRPr="0033167D" w:rsidRDefault="0033167D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Air Purifying Respirator</w:t>
            </w:r>
          </w:p>
        </w:tc>
      </w:tr>
      <w:tr w:rsidR="00352634" w:rsidRPr="00A47BFC" w14:paraId="06678F8D" w14:textId="77777777" w:rsidTr="00352634">
        <w:trPr>
          <w:jc w:val="center"/>
        </w:trPr>
        <w:tc>
          <w:tcPr>
            <w:tcW w:w="1224" w:type="dxa"/>
          </w:tcPr>
          <w:p w14:paraId="6CCE4AE9" w14:textId="37006692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6840" w:type="dxa"/>
          </w:tcPr>
          <w:p w14:paraId="411CBC10" w14:textId="4433B0F5" w:rsidR="00352634" w:rsidRPr="0033167D" w:rsidRDefault="000B0789" w:rsidP="003526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167D">
              <w:rPr>
                <w:rFonts w:ascii="Arial" w:hAnsi="Arial" w:cs="Arial"/>
                <w:sz w:val="20"/>
                <w:szCs w:val="20"/>
              </w:rPr>
              <w:t>Personal Protective Equipment</w:t>
            </w:r>
          </w:p>
        </w:tc>
      </w:tr>
    </w:tbl>
    <w:p w14:paraId="3371ECD4" w14:textId="77777777" w:rsidR="00352634" w:rsidRPr="00A47BFC" w:rsidRDefault="00352634" w:rsidP="00352634">
      <w:pPr>
        <w:pStyle w:val="BodyText"/>
      </w:pPr>
    </w:p>
    <w:sectPr w:rsidR="00352634" w:rsidRPr="00A47BFC" w:rsidSect="00100665">
      <w:footerReference w:type="default" r:id="rId24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EF18" w14:textId="77777777" w:rsidR="00A866D4" w:rsidRDefault="00A866D4" w:rsidP="00D31366">
      <w:r>
        <w:separator/>
      </w:r>
    </w:p>
  </w:endnote>
  <w:endnote w:type="continuationSeparator" w:id="0">
    <w:p w14:paraId="5661813F" w14:textId="77777777" w:rsidR="00A866D4" w:rsidRDefault="00A866D4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DC1A" w14:textId="77777777" w:rsidR="005E5473" w:rsidRDefault="005E5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A09D" w14:textId="40914BBE" w:rsidR="00865CDA" w:rsidRPr="00284263" w:rsidRDefault="00865CDA" w:rsidP="00E1500E">
    <w:pPr>
      <w:pStyle w:val="Header"/>
      <w:spacing w:before="480"/>
      <w:jc w:val="center"/>
      <w:rPr>
        <w:sz w:val="24"/>
        <w:szCs w:val="24"/>
      </w:rPr>
    </w:pPr>
    <w:r w:rsidRPr="00284263">
      <w:rPr>
        <w:rStyle w:val="PageNumber"/>
        <w:smallCaps/>
        <w:sz w:val="24"/>
        <w:szCs w:val="24"/>
      </w:rPr>
      <w:t>For Official Use Only (FOUO)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C05A" w14:textId="77777777" w:rsidR="005E5473" w:rsidRDefault="005E54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64E2" w14:textId="5DBD9945" w:rsidR="00865CDA" w:rsidRDefault="00865CDA" w:rsidP="00E1316B">
    <w:pPr>
      <w:pStyle w:val="Header"/>
      <w:pBdr>
        <w:top w:val="single" w:sz="8" w:space="1" w:color="000080"/>
      </w:pBdr>
      <w:tabs>
        <w:tab w:val="clear" w:pos="9360"/>
        <w:tab w:val="center" w:pos="4680"/>
        <w:tab w:val="right" w:pos="9900"/>
      </w:tabs>
      <w:rPr>
        <w:rStyle w:val="PageNumber"/>
      </w:rPr>
    </w:pPr>
    <w:r>
      <w:t>Table of Contents</w:t>
    </w:r>
    <w:r w:rsidRPr="003536F2"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</w:t>
    </w:r>
    <w:r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</w:rPr>
      <w:t>NERHCC</w:t>
    </w:r>
  </w:p>
  <w:p w14:paraId="4D1EF709" w14:textId="5612AAE8" w:rsidR="00865CDA" w:rsidRPr="009E4E24" w:rsidRDefault="00865CDA" w:rsidP="009E4E24">
    <w:pPr>
      <w:pStyle w:val="Header"/>
      <w:pBdr>
        <w:top w:val="single" w:sz="8" w:space="1" w:color="000080"/>
      </w:pBdr>
      <w:tabs>
        <w:tab w:val="center" w:pos="4680"/>
      </w:tabs>
      <w:rPr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  <w:b w:val="0"/>
        <w:smallCaps/>
        <w:sz w:val="18"/>
        <w:szCs w:val="18"/>
      </w:rPr>
      <w:t>For Official Use Only (FOUO)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2A58" w14:textId="77777777" w:rsidR="00865CDA" w:rsidRDefault="00865CDA" w:rsidP="00E1316B">
    <w:pPr>
      <w:pStyle w:val="Header"/>
      <w:pBdr>
        <w:top w:val="single" w:sz="8" w:space="1" w:color="000080"/>
      </w:pBdr>
      <w:tabs>
        <w:tab w:val="clear" w:pos="9360"/>
        <w:tab w:val="center" w:pos="4680"/>
        <w:tab w:val="right" w:pos="9900"/>
      </w:tabs>
      <w:rPr>
        <w:rStyle w:val="PageNumber"/>
      </w:rPr>
    </w:pPr>
    <w:r>
      <w:t>Executive Overview</w:t>
    </w:r>
    <w:r w:rsidRPr="003536F2"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</w:t>
    </w:r>
    <w:r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</w:rPr>
      <w:t>NERHCC</w:t>
    </w:r>
  </w:p>
  <w:p w14:paraId="396A5194" w14:textId="77777777" w:rsidR="00865CDA" w:rsidRPr="009E4E24" w:rsidRDefault="00865CDA" w:rsidP="009E4E24">
    <w:pPr>
      <w:pStyle w:val="Header"/>
      <w:pBdr>
        <w:top w:val="single" w:sz="8" w:space="1" w:color="000080"/>
      </w:pBdr>
      <w:tabs>
        <w:tab w:val="center" w:pos="4680"/>
      </w:tabs>
      <w:rPr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  <w:b w:val="0"/>
        <w:smallCaps/>
        <w:sz w:val="18"/>
        <w:szCs w:val="18"/>
      </w:rPr>
      <w:t>For Official Use Only (FOUO)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AED4" w14:textId="5006C367" w:rsidR="00865CDA" w:rsidRPr="003536F2" w:rsidRDefault="00865CDA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Analysis</w:t>
    </w:r>
    <w:r>
      <w:rPr>
        <w:b w:val="0"/>
      </w:rPr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8</w:t>
    </w:r>
    <w:r w:rsidRPr="003536F2">
      <w:rPr>
        <w:rStyle w:val="PageNumber"/>
        <w:b w:val="0"/>
      </w:rPr>
      <w:fldChar w:fldCharType="end"/>
    </w:r>
    <w:r>
      <w:rPr>
        <w:rStyle w:val="PageNumber"/>
        <w:b w:val="0"/>
      </w:rPr>
      <w:tab/>
    </w:r>
    <w:r>
      <w:rPr>
        <w:rStyle w:val="PageNumber"/>
        <w:b w:val="0"/>
      </w:rPr>
      <w:tab/>
    </w:r>
    <w:r>
      <w:rPr>
        <w:rStyle w:val="PageNumber"/>
      </w:rPr>
      <w:t>NERHCC</w:t>
    </w:r>
  </w:p>
  <w:p w14:paraId="140CCD37" w14:textId="29DDE3DE" w:rsidR="00865CDA" w:rsidRPr="00B404CA" w:rsidRDefault="00865CDA" w:rsidP="00B404CA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  <w:b w:val="0"/>
        <w:smallCaps/>
        <w:sz w:val="18"/>
        <w:szCs w:val="18"/>
      </w:rPr>
      <w:t>For Official Use Only (FOUO)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B733" w14:textId="60841B1C" w:rsidR="00865CDA" w:rsidRPr="003536F2" w:rsidRDefault="00865CDA" w:rsidP="00067D72">
    <w:pPr>
      <w:pStyle w:val="Header"/>
      <w:pBdr>
        <w:top w:val="single" w:sz="8" w:space="1" w:color="000080"/>
      </w:pBdr>
      <w:tabs>
        <w:tab w:val="center" w:pos="4680"/>
        <w:tab w:val="center" w:pos="9360"/>
        <w:tab w:val="right" w:pos="12960"/>
      </w:tabs>
      <w:rPr>
        <w:rStyle w:val="PageNumber"/>
      </w:rPr>
    </w:pPr>
    <w:r>
      <w:t xml:space="preserve">Appendix </w:t>
    </w:r>
    <w:r w:rsidR="004E189A">
      <w:t>A</w:t>
    </w:r>
    <w:r>
      <w:t xml:space="preserve">:  </w:t>
    </w:r>
    <w:r w:rsidR="004E189A">
      <w:t>Participating Agencies</w:t>
    </w:r>
    <w:r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31</w:t>
    </w:r>
    <w:r w:rsidRPr="003536F2">
      <w:rPr>
        <w:rStyle w:val="PageNumber"/>
        <w:b w:val="0"/>
      </w:rPr>
      <w:fldChar w:fldCharType="end"/>
    </w:r>
    <w:r>
      <w:rPr>
        <w:b w:val="0"/>
      </w:rPr>
      <w:tab/>
    </w:r>
    <w:r>
      <w:rPr>
        <w:rStyle w:val="PageNumber"/>
      </w:rPr>
      <w:t>NERHCC</w:t>
    </w:r>
  </w:p>
  <w:p w14:paraId="7C8DFEFC" w14:textId="51C15675" w:rsidR="00865CDA" w:rsidRPr="00B404CA" w:rsidRDefault="00865CDA" w:rsidP="00067D72">
    <w:pPr>
      <w:pStyle w:val="Header"/>
      <w:pBdr>
        <w:top w:val="single" w:sz="8" w:space="1" w:color="000080"/>
      </w:pBdr>
      <w:tabs>
        <w:tab w:val="center" w:pos="4770"/>
      </w:tabs>
      <w:rPr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  <w:b w:val="0"/>
        <w:smallCaps/>
        <w:sz w:val="18"/>
        <w:szCs w:val="18"/>
      </w:rPr>
      <w:t>For Official Use Only (FOUO)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E2FF" w14:textId="40A908ED" w:rsidR="00865CDA" w:rsidRPr="003536F2" w:rsidRDefault="00865CDA" w:rsidP="00067D72">
    <w:pPr>
      <w:pStyle w:val="Header"/>
      <w:pBdr>
        <w:top w:val="single" w:sz="8" w:space="1" w:color="000080"/>
      </w:pBdr>
      <w:tabs>
        <w:tab w:val="center" w:pos="4680"/>
        <w:tab w:val="center" w:pos="9360"/>
        <w:tab w:val="right" w:pos="12960"/>
      </w:tabs>
      <w:rPr>
        <w:rStyle w:val="PageNumber"/>
      </w:rPr>
    </w:pPr>
    <w:r>
      <w:t xml:space="preserve">Appendix </w:t>
    </w:r>
    <w:r w:rsidR="006B53F5">
      <w:t>B</w:t>
    </w:r>
    <w:r>
      <w:t xml:space="preserve">: </w:t>
    </w:r>
    <w:r w:rsidR="006B53F5">
      <w:t>Acronyms</w:t>
    </w:r>
    <w:r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31</w:t>
    </w:r>
    <w:r w:rsidRPr="003536F2">
      <w:rPr>
        <w:rStyle w:val="PageNumber"/>
        <w:b w:val="0"/>
      </w:rPr>
      <w:fldChar w:fldCharType="end"/>
    </w:r>
    <w:r>
      <w:rPr>
        <w:b w:val="0"/>
      </w:rPr>
      <w:tab/>
    </w:r>
    <w:r>
      <w:rPr>
        <w:rStyle w:val="PageNumber"/>
      </w:rPr>
      <w:t>NERHCC</w:t>
    </w:r>
  </w:p>
  <w:p w14:paraId="7F1520F5" w14:textId="77777777" w:rsidR="00865CDA" w:rsidRPr="00B404CA" w:rsidRDefault="00865CDA" w:rsidP="00067D72">
    <w:pPr>
      <w:pStyle w:val="Header"/>
      <w:pBdr>
        <w:top w:val="single" w:sz="8" w:space="1" w:color="000080"/>
      </w:pBdr>
      <w:tabs>
        <w:tab w:val="center" w:pos="4770"/>
      </w:tabs>
      <w:rPr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  <w:b w:val="0"/>
        <w:smallCaps/>
        <w:sz w:val="18"/>
        <w:szCs w:val="18"/>
      </w:rPr>
      <w:t>For Official Use Only (FOUO)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281E" w14:textId="77777777" w:rsidR="00A866D4" w:rsidRDefault="00A866D4" w:rsidP="00D31366">
      <w:r>
        <w:separator/>
      </w:r>
    </w:p>
  </w:footnote>
  <w:footnote w:type="continuationSeparator" w:id="0">
    <w:p w14:paraId="6CB17E11" w14:textId="77777777" w:rsidR="00A866D4" w:rsidRDefault="00A866D4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78B4" w14:textId="77777777" w:rsidR="005E5473" w:rsidRDefault="005E5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441C" w14:textId="2D4FDE2F" w:rsidR="00865CDA" w:rsidRPr="00284263" w:rsidRDefault="00865CDA" w:rsidP="00E1500E">
    <w:pPr>
      <w:pStyle w:val="Header"/>
      <w:spacing w:before="480"/>
      <w:jc w:val="center"/>
      <w:rPr>
        <w:sz w:val="24"/>
        <w:szCs w:val="24"/>
      </w:rPr>
    </w:pPr>
    <w:r w:rsidRPr="00284263">
      <w:rPr>
        <w:rStyle w:val="PageNumber"/>
        <w:smallCaps/>
        <w:sz w:val="24"/>
        <w:szCs w:val="24"/>
      </w:rPr>
      <w:t>For Official Use Only (FOUO)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E796" w14:textId="77777777" w:rsidR="005E5473" w:rsidRDefault="005E54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6BAC" w14:textId="6953F202" w:rsidR="00865CDA" w:rsidRPr="00757D46" w:rsidRDefault="00865CDA" w:rsidP="00E1500E">
    <w:pPr>
      <w:pStyle w:val="Header"/>
      <w:tabs>
        <w:tab w:val="clear" w:pos="9360"/>
        <w:tab w:val="right" w:pos="10080"/>
      </w:tabs>
      <w:rPr>
        <w:szCs w:val="12"/>
      </w:rPr>
    </w:pPr>
    <w:r>
      <w:t>After-Action Report (AAR)</w:t>
    </w:r>
    <w:r>
      <w:tab/>
      <w:t>COVID-19 Pandemic Response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45CF" w14:textId="02042611" w:rsidR="00865CDA" w:rsidRDefault="00865CDA" w:rsidP="008A7CA9">
    <w:pPr>
      <w:pStyle w:val="Header"/>
      <w:tabs>
        <w:tab w:val="right" w:pos="12960"/>
      </w:tabs>
    </w:pPr>
    <w:r>
      <w:t>After-Action Report (AAR)</w:t>
    </w:r>
    <w:r>
      <w:rPr>
        <w:szCs w:val="12"/>
      </w:rPr>
      <w:tab/>
      <w:t>COVID-19 Initial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02D7272"/>
    <w:multiLevelType w:val="hybridMultilevel"/>
    <w:tmpl w:val="8D0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F08C7"/>
    <w:multiLevelType w:val="hybridMultilevel"/>
    <w:tmpl w:val="C19E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736E0"/>
    <w:multiLevelType w:val="hybridMultilevel"/>
    <w:tmpl w:val="EB3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411B6"/>
    <w:multiLevelType w:val="hybridMultilevel"/>
    <w:tmpl w:val="495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3642A"/>
    <w:multiLevelType w:val="hybridMultilevel"/>
    <w:tmpl w:val="88B4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127C6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77940"/>
    <w:multiLevelType w:val="hybridMultilevel"/>
    <w:tmpl w:val="D21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770BA"/>
    <w:multiLevelType w:val="hybridMultilevel"/>
    <w:tmpl w:val="D204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65B08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A5101"/>
    <w:multiLevelType w:val="hybridMultilevel"/>
    <w:tmpl w:val="CC22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30785"/>
    <w:multiLevelType w:val="hybridMultilevel"/>
    <w:tmpl w:val="5DB4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7501E"/>
    <w:multiLevelType w:val="hybridMultilevel"/>
    <w:tmpl w:val="92B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D7FC2"/>
    <w:multiLevelType w:val="hybridMultilevel"/>
    <w:tmpl w:val="06EE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346EE"/>
    <w:multiLevelType w:val="hybridMultilevel"/>
    <w:tmpl w:val="AB4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1103E"/>
    <w:multiLevelType w:val="hybridMultilevel"/>
    <w:tmpl w:val="7C4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81D43"/>
    <w:multiLevelType w:val="hybridMultilevel"/>
    <w:tmpl w:val="64E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0C0011"/>
    <w:multiLevelType w:val="hybridMultilevel"/>
    <w:tmpl w:val="540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3A474D"/>
    <w:multiLevelType w:val="hybridMultilevel"/>
    <w:tmpl w:val="2E1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15B5A"/>
    <w:multiLevelType w:val="hybridMultilevel"/>
    <w:tmpl w:val="F92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0C3195"/>
    <w:multiLevelType w:val="hybridMultilevel"/>
    <w:tmpl w:val="6584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0109B"/>
    <w:multiLevelType w:val="hybridMultilevel"/>
    <w:tmpl w:val="2CC6F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C5093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925F4"/>
    <w:multiLevelType w:val="hybridMultilevel"/>
    <w:tmpl w:val="CB9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FB40AB"/>
    <w:multiLevelType w:val="hybridMultilevel"/>
    <w:tmpl w:val="23C6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E85424"/>
    <w:multiLevelType w:val="hybridMultilevel"/>
    <w:tmpl w:val="68B6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E40D4C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A48CB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8771D5"/>
    <w:multiLevelType w:val="hybridMultilevel"/>
    <w:tmpl w:val="9BCE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0B18C5"/>
    <w:multiLevelType w:val="hybridMultilevel"/>
    <w:tmpl w:val="7C56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71859"/>
    <w:multiLevelType w:val="hybridMultilevel"/>
    <w:tmpl w:val="882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85466"/>
    <w:multiLevelType w:val="hybridMultilevel"/>
    <w:tmpl w:val="2734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C38B7"/>
    <w:multiLevelType w:val="hybridMultilevel"/>
    <w:tmpl w:val="2CC6F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3381E"/>
    <w:multiLevelType w:val="hybridMultilevel"/>
    <w:tmpl w:val="4482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E82D05"/>
    <w:multiLevelType w:val="hybridMultilevel"/>
    <w:tmpl w:val="AE8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D160F"/>
    <w:multiLevelType w:val="hybridMultilevel"/>
    <w:tmpl w:val="C0E4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522381"/>
    <w:multiLevelType w:val="hybridMultilevel"/>
    <w:tmpl w:val="6A7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DE1BB8"/>
    <w:multiLevelType w:val="hybridMultilevel"/>
    <w:tmpl w:val="C57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B0690"/>
    <w:multiLevelType w:val="hybridMultilevel"/>
    <w:tmpl w:val="D69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2335C0"/>
    <w:multiLevelType w:val="hybridMultilevel"/>
    <w:tmpl w:val="979E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338D5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3FBB"/>
    <w:multiLevelType w:val="hybridMultilevel"/>
    <w:tmpl w:val="707C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0F727B"/>
    <w:multiLevelType w:val="hybridMultilevel"/>
    <w:tmpl w:val="492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AA0832"/>
    <w:multiLevelType w:val="hybridMultilevel"/>
    <w:tmpl w:val="2008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86A3C"/>
    <w:multiLevelType w:val="hybridMultilevel"/>
    <w:tmpl w:val="B5FE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49423B"/>
    <w:multiLevelType w:val="hybridMultilevel"/>
    <w:tmpl w:val="10A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AC258A"/>
    <w:multiLevelType w:val="hybridMultilevel"/>
    <w:tmpl w:val="D0A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875B82"/>
    <w:multiLevelType w:val="hybridMultilevel"/>
    <w:tmpl w:val="AE9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98561A"/>
    <w:multiLevelType w:val="hybridMultilevel"/>
    <w:tmpl w:val="BFA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A144FE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16ED7"/>
    <w:multiLevelType w:val="hybridMultilevel"/>
    <w:tmpl w:val="EFD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625AA1"/>
    <w:multiLevelType w:val="hybridMultilevel"/>
    <w:tmpl w:val="28A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9E6B6A"/>
    <w:multiLevelType w:val="hybridMultilevel"/>
    <w:tmpl w:val="3F8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27D36"/>
    <w:multiLevelType w:val="hybridMultilevel"/>
    <w:tmpl w:val="B40C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486E09"/>
    <w:multiLevelType w:val="hybridMultilevel"/>
    <w:tmpl w:val="585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232B04"/>
    <w:multiLevelType w:val="hybridMultilevel"/>
    <w:tmpl w:val="D6B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1F5967"/>
    <w:multiLevelType w:val="hybridMultilevel"/>
    <w:tmpl w:val="2D6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3B1805"/>
    <w:multiLevelType w:val="hybridMultilevel"/>
    <w:tmpl w:val="5204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8A5ECD"/>
    <w:multiLevelType w:val="hybridMultilevel"/>
    <w:tmpl w:val="2CC6F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04042"/>
    <w:multiLevelType w:val="hybridMultilevel"/>
    <w:tmpl w:val="A80E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A7D4F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A25D8"/>
    <w:multiLevelType w:val="hybridMultilevel"/>
    <w:tmpl w:val="18D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A15EEA"/>
    <w:multiLevelType w:val="hybridMultilevel"/>
    <w:tmpl w:val="16A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D05ED4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F04465"/>
    <w:multiLevelType w:val="hybridMultilevel"/>
    <w:tmpl w:val="0E0A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875674"/>
    <w:multiLevelType w:val="hybridMultilevel"/>
    <w:tmpl w:val="96F6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DF7281"/>
    <w:multiLevelType w:val="hybridMultilevel"/>
    <w:tmpl w:val="1D70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4071E8"/>
    <w:multiLevelType w:val="hybridMultilevel"/>
    <w:tmpl w:val="64848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2D37C4"/>
    <w:multiLevelType w:val="hybridMultilevel"/>
    <w:tmpl w:val="667A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643852"/>
    <w:multiLevelType w:val="hybridMultilevel"/>
    <w:tmpl w:val="B7C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E2070B"/>
    <w:multiLevelType w:val="hybridMultilevel"/>
    <w:tmpl w:val="E65E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9801CE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D60341"/>
    <w:multiLevelType w:val="hybridMultilevel"/>
    <w:tmpl w:val="E2D4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F35F37"/>
    <w:multiLevelType w:val="hybridMultilevel"/>
    <w:tmpl w:val="E65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7231EA"/>
    <w:multiLevelType w:val="hybridMultilevel"/>
    <w:tmpl w:val="2518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D42275"/>
    <w:multiLevelType w:val="hybridMultilevel"/>
    <w:tmpl w:val="1AD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D84754"/>
    <w:multiLevelType w:val="hybridMultilevel"/>
    <w:tmpl w:val="F824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E53046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E80563"/>
    <w:multiLevelType w:val="hybridMultilevel"/>
    <w:tmpl w:val="C818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BC2F1F"/>
    <w:multiLevelType w:val="hybridMultilevel"/>
    <w:tmpl w:val="0ADA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132FFB"/>
    <w:multiLevelType w:val="hybridMultilevel"/>
    <w:tmpl w:val="C33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010C83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4D7118"/>
    <w:multiLevelType w:val="hybridMultilevel"/>
    <w:tmpl w:val="C5D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DA1F9B"/>
    <w:multiLevelType w:val="hybridMultilevel"/>
    <w:tmpl w:val="6C0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0804BF"/>
    <w:multiLevelType w:val="hybridMultilevel"/>
    <w:tmpl w:val="A5E4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B75796"/>
    <w:multiLevelType w:val="hybridMultilevel"/>
    <w:tmpl w:val="A7B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E94E46"/>
    <w:multiLevelType w:val="hybridMultilevel"/>
    <w:tmpl w:val="3404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EB210C"/>
    <w:multiLevelType w:val="hybridMultilevel"/>
    <w:tmpl w:val="238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B211FDE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AC4521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245957"/>
    <w:multiLevelType w:val="hybridMultilevel"/>
    <w:tmpl w:val="2E66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BD0668"/>
    <w:multiLevelType w:val="hybridMultilevel"/>
    <w:tmpl w:val="CD3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B92DFA"/>
    <w:multiLevelType w:val="hybridMultilevel"/>
    <w:tmpl w:val="0F0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982190"/>
    <w:multiLevelType w:val="hybridMultilevel"/>
    <w:tmpl w:val="B56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6D0DFA"/>
    <w:multiLevelType w:val="hybridMultilevel"/>
    <w:tmpl w:val="A71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3F7500"/>
    <w:multiLevelType w:val="hybridMultilevel"/>
    <w:tmpl w:val="9940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2C585F"/>
    <w:multiLevelType w:val="hybridMultilevel"/>
    <w:tmpl w:val="0C2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DF3A93"/>
    <w:multiLevelType w:val="hybridMultilevel"/>
    <w:tmpl w:val="37A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E345B8"/>
    <w:multiLevelType w:val="hybridMultilevel"/>
    <w:tmpl w:val="1E006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F9789B"/>
    <w:multiLevelType w:val="hybridMultilevel"/>
    <w:tmpl w:val="38AE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3E57A4"/>
    <w:multiLevelType w:val="hybridMultilevel"/>
    <w:tmpl w:val="E4C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324A0C"/>
    <w:multiLevelType w:val="hybridMultilevel"/>
    <w:tmpl w:val="FD02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5D3C50"/>
    <w:multiLevelType w:val="hybridMultilevel"/>
    <w:tmpl w:val="C394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5C6606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51FC2"/>
    <w:multiLevelType w:val="hybridMultilevel"/>
    <w:tmpl w:val="0ED2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9026B7"/>
    <w:multiLevelType w:val="hybridMultilevel"/>
    <w:tmpl w:val="375E8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5771C6"/>
    <w:multiLevelType w:val="hybridMultilevel"/>
    <w:tmpl w:val="0FEE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BE64EF"/>
    <w:multiLevelType w:val="hybridMultilevel"/>
    <w:tmpl w:val="BF72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332BFE"/>
    <w:multiLevelType w:val="hybridMultilevel"/>
    <w:tmpl w:val="D50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595DB4"/>
    <w:multiLevelType w:val="hybridMultilevel"/>
    <w:tmpl w:val="16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8"/>
  </w:num>
  <w:num w:numId="3">
    <w:abstractNumId w:val="32"/>
  </w:num>
  <w:num w:numId="4">
    <w:abstractNumId w:val="90"/>
  </w:num>
  <w:num w:numId="5">
    <w:abstractNumId w:val="77"/>
  </w:num>
  <w:num w:numId="6">
    <w:abstractNumId w:val="60"/>
  </w:num>
  <w:num w:numId="7">
    <w:abstractNumId w:val="13"/>
  </w:num>
  <w:num w:numId="8">
    <w:abstractNumId w:val="67"/>
  </w:num>
  <w:num w:numId="9">
    <w:abstractNumId w:val="89"/>
  </w:num>
  <w:num w:numId="10">
    <w:abstractNumId w:val="63"/>
  </w:num>
  <w:num w:numId="11">
    <w:abstractNumId w:val="40"/>
  </w:num>
  <w:num w:numId="12">
    <w:abstractNumId w:val="9"/>
  </w:num>
  <w:num w:numId="13">
    <w:abstractNumId w:val="21"/>
  </w:num>
  <w:num w:numId="14">
    <w:abstractNumId w:val="49"/>
  </w:num>
  <w:num w:numId="15">
    <w:abstractNumId w:val="26"/>
  </w:num>
  <w:num w:numId="16">
    <w:abstractNumId w:val="71"/>
  </w:num>
  <w:num w:numId="17">
    <w:abstractNumId w:val="106"/>
  </w:num>
  <w:num w:numId="18">
    <w:abstractNumId w:val="6"/>
  </w:num>
  <w:num w:numId="19">
    <w:abstractNumId w:val="27"/>
  </w:num>
  <w:num w:numId="20">
    <w:abstractNumId w:val="81"/>
  </w:num>
  <w:num w:numId="21">
    <w:abstractNumId w:val="58"/>
  </w:num>
  <w:num w:numId="22">
    <w:abstractNumId w:val="104"/>
  </w:num>
  <w:num w:numId="23">
    <w:abstractNumId w:val="22"/>
  </w:num>
  <w:num w:numId="24">
    <w:abstractNumId w:val="99"/>
  </w:num>
  <w:num w:numId="25">
    <w:abstractNumId w:val="61"/>
  </w:num>
  <w:num w:numId="26">
    <w:abstractNumId w:val="29"/>
  </w:num>
  <w:num w:numId="27">
    <w:abstractNumId w:val="53"/>
  </w:num>
  <w:num w:numId="28">
    <w:abstractNumId w:val="33"/>
  </w:num>
  <w:num w:numId="29">
    <w:abstractNumId w:val="87"/>
  </w:num>
  <w:num w:numId="30">
    <w:abstractNumId w:val="51"/>
  </w:num>
  <w:num w:numId="31">
    <w:abstractNumId w:val="11"/>
  </w:num>
  <w:num w:numId="32">
    <w:abstractNumId w:val="92"/>
  </w:num>
  <w:num w:numId="33">
    <w:abstractNumId w:val="23"/>
  </w:num>
  <w:num w:numId="34">
    <w:abstractNumId w:val="20"/>
  </w:num>
  <w:num w:numId="35">
    <w:abstractNumId w:val="16"/>
  </w:num>
  <w:num w:numId="36">
    <w:abstractNumId w:val="108"/>
  </w:num>
  <w:num w:numId="37">
    <w:abstractNumId w:val="73"/>
  </w:num>
  <w:num w:numId="38">
    <w:abstractNumId w:val="38"/>
  </w:num>
  <w:num w:numId="39">
    <w:abstractNumId w:val="64"/>
  </w:num>
  <w:num w:numId="40">
    <w:abstractNumId w:val="86"/>
  </w:num>
  <w:num w:numId="41">
    <w:abstractNumId w:val="59"/>
  </w:num>
  <w:num w:numId="42">
    <w:abstractNumId w:val="102"/>
  </w:num>
  <w:num w:numId="43">
    <w:abstractNumId w:val="3"/>
  </w:num>
  <w:num w:numId="44">
    <w:abstractNumId w:val="101"/>
  </w:num>
  <w:num w:numId="45">
    <w:abstractNumId w:val="95"/>
  </w:num>
  <w:num w:numId="46">
    <w:abstractNumId w:val="12"/>
  </w:num>
  <w:num w:numId="47">
    <w:abstractNumId w:val="46"/>
  </w:num>
  <w:num w:numId="48">
    <w:abstractNumId w:val="91"/>
  </w:num>
  <w:num w:numId="49">
    <w:abstractNumId w:val="48"/>
  </w:num>
  <w:num w:numId="50">
    <w:abstractNumId w:val="25"/>
  </w:num>
  <w:num w:numId="51">
    <w:abstractNumId w:val="2"/>
  </w:num>
  <w:num w:numId="52">
    <w:abstractNumId w:val="78"/>
  </w:num>
  <w:num w:numId="53">
    <w:abstractNumId w:val="107"/>
  </w:num>
  <w:num w:numId="54">
    <w:abstractNumId w:val="15"/>
  </w:num>
  <w:num w:numId="55">
    <w:abstractNumId w:val="56"/>
  </w:num>
  <w:num w:numId="56">
    <w:abstractNumId w:val="100"/>
  </w:num>
  <w:num w:numId="57">
    <w:abstractNumId w:val="17"/>
  </w:num>
  <w:num w:numId="58">
    <w:abstractNumId w:val="41"/>
  </w:num>
  <w:num w:numId="59">
    <w:abstractNumId w:val="110"/>
  </w:num>
  <w:num w:numId="60">
    <w:abstractNumId w:val="1"/>
  </w:num>
  <w:num w:numId="61">
    <w:abstractNumId w:val="47"/>
  </w:num>
  <w:num w:numId="62">
    <w:abstractNumId w:val="76"/>
  </w:num>
  <w:num w:numId="63">
    <w:abstractNumId w:val="85"/>
  </w:num>
  <w:num w:numId="64">
    <w:abstractNumId w:val="105"/>
  </w:num>
  <w:num w:numId="65">
    <w:abstractNumId w:val="54"/>
  </w:num>
  <w:num w:numId="66">
    <w:abstractNumId w:val="103"/>
  </w:num>
  <w:num w:numId="67">
    <w:abstractNumId w:val="30"/>
  </w:num>
  <w:num w:numId="68">
    <w:abstractNumId w:val="55"/>
  </w:num>
  <w:num w:numId="69">
    <w:abstractNumId w:val="79"/>
  </w:num>
  <w:num w:numId="70">
    <w:abstractNumId w:val="19"/>
  </w:num>
  <w:num w:numId="71">
    <w:abstractNumId w:val="72"/>
  </w:num>
  <w:num w:numId="72">
    <w:abstractNumId w:val="10"/>
  </w:num>
  <w:num w:numId="73">
    <w:abstractNumId w:val="18"/>
  </w:num>
  <w:num w:numId="74">
    <w:abstractNumId w:val="84"/>
  </w:num>
  <w:num w:numId="75">
    <w:abstractNumId w:val="36"/>
  </w:num>
  <w:num w:numId="76">
    <w:abstractNumId w:val="5"/>
  </w:num>
  <w:num w:numId="77">
    <w:abstractNumId w:val="74"/>
  </w:num>
  <w:num w:numId="78">
    <w:abstractNumId w:val="39"/>
  </w:num>
  <w:num w:numId="79">
    <w:abstractNumId w:val="65"/>
  </w:num>
  <w:num w:numId="80">
    <w:abstractNumId w:val="83"/>
  </w:num>
  <w:num w:numId="81">
    <w:abstractNumId w:val="57"/>
  </w:num>
  <w:num w:numId="82">
    <w:abstractNumId w:val="50"/>
  </w:num>
  <w:num w:numId="83">
    <w:abstractNumId w:val="35"/>
  </w:num>
  <w:num w:numId="84">
    <w:abstractNumId w:val="62"/>
  </w:num>
  <w:num w:numId="85">
    <w:abstractNumId w:val="80"/>
  </w:num>
  <w:num w:numId="86">
    <w:abstractNumId w:val="93"/>
  </w:num>
  <w:num w:numId="87">
    <w:abstractNumId w:val="34"/>
  </w:num>
  <w:num w:numId="88">
    <w:abstractNumId w:val="14"/>
  </w:num>
  <w:num w:numId="89">
    <w:abstractNumId w:val="37"/>
  </w:num>
  <w:num w:numId="90">
    <w:abstractNumId w:val="82"/>
  </w:num>
  <w:num w:numId="91">
    <w:abstractNumId w:val="68"/>
  </w:num>
  <w:num w:numId="92">
    <w:abstractNumId w:val="94"/>
  </w:num>
  <w:num w:numId="93">
    <w:abstractNumId w:val="42"/>
  </w:num>
  <w:num w:numId="94">
    <w:abstractNumId w:val="52"/>
  </w:num>
  <w:num w:numId="95">
    <w:abstractNumId w:val="75"/>
  </w:num>
  <w:num w:numId="96">
    <w:abstractNumId w:val="4"/>
  </w:num>
  <w:num w:numId="97">
    <w:abstractNumId w:val="66"/>
  </w:num>
  <w:num w:numId="98">
    <w:abstractNumId w:val="96"/>
  </w:num>
  <w:num w:numId="99">
    <w:abstractNumId w:val="44"/>
  </w:num>
  <w:num w:numId="100">
    <w:abstractNumId w:val="31"/>
  </w:num>
  <w:num w:numId="101">
    <w:abstractNumId w:val="28"/>
  </w:num>
  <w:num w:numId="102">
    <w:abstractNumId w:val="109"/>
  </w:num>
  <w:num w:numId="103">
    <w:abstractNumId w:val="98"/>
  </w:num>
  <w:num w:numId="104">
    <w:abstractNumId w:val="45"/>
  </w:num>
  <w:num w:numId="105">
    <w:abstractNumId w:val="70"/>
  </w:num>
  <w:num w:numId="106">
    <w:abstractNumId w:val="24"/>
  </w:num>
  <w:num w:numId="107">
    <w:abstractNumId w:val="69"/>
  </w:num>
  <w:num w:numId="108">
    <w:abstractNumId w:val="97"/>
  </w:num>
  <w:num w:numId="109">
    <w:abstractNumId w:val="7"/>
  </w:num>
  <w:num w:numId="110">
    <w:abstractNumId w:val="8"/>
  </w:num>
  <w:num w:numId="111">
    <w:abstractNumId w:val="4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0152F"/>
    <w:rsid w:val="000046F2"/>
    <w:rsid w:val="00013F4C"/>
    <w:rsid w:val="0001497D"/>
    <w:rsid w:val="000152D3"/>
    <w:rsid w:val="00015480"/>
    <w:rsid w:val="00015AFE"/>
    <w:rsid w:val="000206D2"/>
    <w:rsid w:val="000252FC"/>
    <w:rsid w:val="00025486"/>
    <w:rsid w:val="0003118C"/>
    <w:rsid w:val="00035391"/>
    <w:rsid w:val="00037C2C"/>
    <w:rsid w:val="00040ECD"/>
    <w:rsid w:val="00044E28"/>
    <w:rsid w:val="00053034"/>
    <w:rsid w:val="00054109"/>
    <w:rsid w:val="000547D1"/>
    <w:rsid w:val="00054AB0"/>
    <w:rsid w:val="000558D2"/>
    <w:rsid w:val="0005707D"/>
    <w:rsid w:val="000576FE"/>
    <w:rsid w:val="00064F16"/>
    <w:rsid w:val="000674BA"/>
    <w:rsid w:val="00067D72"/>
    <w:rsid w:val="000700FC"/>
    <w:rsid w:val="00070CB6"/>
    <w:rsid w:val="000720EC"/>
    <w:rsid w:val="0007427E"/>
    <w:rsid w:val="00076712"/>
    <w:rsid w:val="00080E03"/>
    <w:rsid w:val="0008494E"/>
    <w:rsid w:val="00085A11"/>
    <w:rsid w:val="00093130"/>
    <w:rsid w:val="000A06BE"/>
    <w:rsid w:val="000A0737"/>
    <w:rsid w:val="000A1C01"/>
    <w:rsid w:val="000B0789"/>
    <w:rsid w:val="000B182D"/>
    <w:rsid w:val="000B2FCF"/>
    <w:rsid w:val="000B4934"/>
    <w:rsid w:val="000C2442"/>
    <w:rsid w:val="000C252D"/>
    <w:rsid w:val="000D6302"/>
    <w:rsid w:val="000D65F4"/>
    <w:rsid w:val="000E0D35"/>
    <w:rsid w:val="000F02E2"/>
    <w:rsid w:val="000F1781"/>
    <w:rsid w:val="000F5AA1"/>
    <w:rsid w:val="00100665"/>
    <w:rsid w:val="0010234F"/>
    <w:rsid w:val="001065B6"/>
    <w:rsid w:val="001072D2"/>
    <w:rsid w:val="001114A0"/>
    <w:rsid w:val="00114597"/>
    <w:rsid w:val="001200C3"/>
    <w:rsid w:val="001211AC"/>
    <w:rsid w:val="00122E51"/>
    <w:rsid w:val="001230C1"/>
    <w:rsid w:val="00126494"/>
    <w:rsid w:val="00130410"/>
    <w:rsid w:val="00140E28"/>
    <w:rsid w:val="00141849"/>
    <w:rsid w:val="00143892"/>
    <w:rsid w:val="001452FF"/>
    <w:rsid w:val="00147A17"/>
    <w:rsid w:val="00147ADC"/>
    <w:rsid w:val="00147EDA"/>
    <w:rsid w:val="001519B1"/>
    <w:rsid w:val="00154623"/>
    <w:rsid w:val="00154DC6"/>
    <w:rsid w:val="0015537D"/>
    <w:rsid w:val="00157D67"/>
    <w:rsid w:val="00157F48"/>
    <w:rsid w:val="00157F9B"/>
    <w:rsid w:val="00162263"/>
    <w:rsid w:val="001628BB"/>
    <w:rsid w:val="001635FF"/>
    <w:rsid w:val="00173A85"/>
    <w:rsid w:val="001768D6"/>
    <w:rsid w:val="00180488"/>
    <w:rsid w:val="00183241"/>
    <w:rsid w:val="0018597C"/>
    <w:rsid w:val="00185CFD"/>
    <w:rsid w:val="00185F7C"/>
    <w:rsid w:val="001909F6"/>
    <w:rsid w:val="00190B45"/>
    <w:rsid w:val="00190EC2"/>
    <w:rsid w:val="0019257C"/>
    <w:rsid w:val="001A1DEF"/>
    <w:rsid w:val="001A3FDF"/>
    <w:rsid w:val="001A6FB1"/>
    <w:rsid w:val="001B0943"/>
    <w:rsid w:val="001B1157"/>
    <w:rsid w:val="001B13DF"/>
    <w:rsid w:val="001B785B"/>
    <w:rsid w:val="001C111E"/>
    <w:rsid w:val="001D7629"/>
    <w:rsid w:val="001E0A23"/>
    <w:rsid w:val="001E422E"/>
    <w:rsid w:val="001E53C8"/>
    <w:rsid w:val="001E5B9C"/>
    <w:rsid w:val="001F5681"/>
    <w:rsid w:val="001F58CB"/>
    <w:rsid w:val="002010E1"/>
    <w:rsid w:val="0020383F"/>
    <w:rsid w:val="002055E4"/>
    <w:rsid w:val="0020733F"/>
    <w:rsid w:val="00214640"/>
    <w:rsid w:val="00214D8E"/>
    <w:rsid w:val="00220C34"/>
    <w:rsid w:val="002218AA"/>
    <w:rsid w:val="00223150"/>
    <w:rsid w:val="0022733F"/>
    <w:rsid w:val="00227C26"/>
    <w:rsid w:val="002351A6"/>
    <w:rsid w:val="00235915"/>
    <w:rsid w:val="0024155C"/>
    <w:rsid w:val="00241FBF"/>
    <w:rsid w:val="0024271F"/>
    <w:rsid w:val="002447DB"/>
    <w:rsid w:val="00245EE5"/>
    <w:rsid w:val="002500BF"/>
    <w:rsid w:val="002542DA"/>
    <w:rsid w:val="00255A08"/>
    <w:rsid w:val="00255B64"/>
    <w:rsid w:val="0025683A"/>
    <w:rsid w:val="002611C9"/>
    <w:rsid w:val="00262905"/>
    <w:rsid w:val="00262A5A"/>
    <w:rsid w:val="002655A7"/>
    <w:rsid w:val="00265727"/>
    <w:rsid w:val="00271872"/>
    <w:rsid w:val="00273497"/>
    <w:rsid w:val="00281CDD"/>
    <w:rsid w:val="00284263"/>
    <w:rsid w:val="00290ABD"/>
    <w:rsid w:val="00294B1F"/>
    <w:rsid w:val="00295681"/>
    <w:rsid w:val="00295A74"/>
    <w:rsid w:val="002A01AA"/>
    <w:rsid w:val="002A2224"/>
    <w:rsid w:val="002A3D4D"/>
    <w:rsid w:val="002A3DFD"/>
    <w:rsid w:val="002A70AA"/>
    <w:rsid w:val="002B03A6"/>
    <w:rsid w:val="002B40C6"/>
    <w:rsid w:val="002B470E"/>
    <w:rsid w:val="002B6B77"/>
    <w:rsid w:val="002C07F1"/>
    <w:rsid w:val="002C5565"/>
    <w:rsid w:val="002D6500"/>
    <w:rsid w:val="002E52D0"/>
    <w:rsid w:val="002E53B4"/>
    <w:rsid w:val="002E78A0"/>
    <w:rsid w:val="002F1A81"/>
    <w:rsid w:val="002F3291"/>
    <w:rsid w:val="002F6911"/>
    <w:rsid w:val="002F6D68"/>
    <w:rsid w:val="002F7CCD"/>
    <w:rsid w:val="0030014A"/>
    <w:rsid w:val="003001E6"/>
    <w:rsid w:val="003029D3"/>
    <w:rsid w:val="00305EC5"/>
    <w:rsid w:val="003170C3"/>
    <w:rsid w:val="003177D2"/>
    <w:rsid w:val="00317BB7"/>
    <w:rsid w:val="00326CAC"/>
    <w:rsid w:val="0032757C"/>
    <w:rsid w:val="0033167D"/>
    <w:rsid w:val="00332395"/>
    <w:rsid w:val="00333A61"/>
    <w:rsid w:val="00333D63"/>
    <w:rsid w:val="00333F8B"/>
    <w:rsid w:val="0033400A"/>
    <w:rsid w:val="00334B15"/>
    <w:rsid w:val="0033566C"/>
    <w:rsid w:val="00335815"/>
    <w:rsid w:val="00336A62"/>
    <w:rsid w:val="003431BA"/>
    <w:rsid w:val="00352634"/>
    <w:rsid w:val="00355EA9"/>
    <w:rsid w:val="00356683"/>
    <w:rsid w:val="00356C96"/>
    <w:rsid w:val="00362B78"/>
    <w:rsid w:val="00364EE0"/>
    <w:rsid w:val="0036792D"/>
    <w:rsid w:val="003701FD"/>
    <w:rsid w:val="00371951"/>
    <w:rsid w:val="00374AB9"/>
    <w:rsid w:val="0037537B"/>
    <w:rsid w:val="00375BF1"/>
    <w:rsid w:val="00376968"/>
    <w:rsid w:val="0039112D"/>
    <w:rsid w:val="00391758"/>
    <w:rsid w:val="00392C3E"/>
    <w:rsid w:val="00394199"/>
    <w:rsid w:val="003954A4"/>
    <w:rsid w:val="00397D80"/>
    <w:rsid w:val="003A0595"/>
    <w:rsid w:val="003A063E"/>
    <w:rsid w:val="003A4951"/>
    <w:rsid w:val="003A4B9C"/>
    <w:rsid w:val="003B0391"/>
    <w:rsid w:val="003B166B"/>
    <w:rsid w:val="003B2CF9"/>
    <w:rsid w:val="003B643B"/>
    <w:rsid w:val="003B65D5"/>
    <w:rsid w:val="003C372F"/>
    <w:rsid w:val="003C4FC1"/>
    <w:rsid w:val="003C7C29"/>
    <w:rsid w:val="003D06F6"/>
    <w:rsid w:val="003D437B"/>
    <w:rsid w:val="003D4DED"/>
    <w:rsid w:val="003E2046"/>
    <w:rsid w:val="003E394F"/>
    <w:rsid w:val="003F48E7"/>
    <w:rsid w:val="003F720B"/>
    <w:rsid w:val="00401ED5"/>
    <w:rsid w:val="004024E2"/>
    <w:rsid w:val="004029B3"/>
    <w:rsid w:val="00425831"/>
    <w:rsid w:val="00432C54"/>
    <w:rsid w:val="00436D35"/>
    <w:rsid w:val="00440071"/>
    <w:rsid w:val="00446669"/>
    <w:rsid w:val="00451D3D"/>
    <w:rsid w:val="004528A4"/>
    <w:rsid w:val="00453CEF"/>
    <w:rsid w:val="00455826"/>
    <w:rsid w:val="00455BE5"/>
    <w:rsid w:val="004608A0"/>
    <w:rsid w:val="00470F1B"/>
    <w:rsid w:val="00470F35"/>
    <w:rsid w:val="004733CD"/>
    <w:rsid w:val="00476842"/>
    <w:rsid w:val="00476CD7"/>
    <w:rsid w:val="00483CFA"/>
    <w:rsid w:val="00490040"/>
    <w:rsid w:val="00492188"/>
    <w:rsid w:val="00494DDE"/>
    <w:rsid w:val="00495D76"/>
    <w:rsid w:val="00497EF6"/>
    <w:rsid w:val="004A3800"/>
    <w:rsid w:val="004B26D5"/>
    <w:rsid w:val="004B2FFB"/>
    <w:rsid w:val="004B53B6"/>
    <w:rsid w:val="004B689F"/>
    <w:rsid w:val="004B69D2"/>
    <w:rsid w:val="004B6F2A"/>
    <w:rsid w:val="004B743A"/>
    <w:rsid w:val="004C36BE"/>
    <w:rsid w:val="004C5D5B"/>
    <w:rsid w:val="004C6D1D"/>
    <w:rsid w:val="004D0678"/>
    <w:rsid w:val="004D09F5"/>
    <w:rsid w:val="004D0DF3"/>
    <w:rsid w:val="004D2C4F"/>
    <w:rsid w:val="004D5DC3"/>
    <w:rsid w:val="004E189A"/>
    <w:rsid w:val="004E23F3"/>
    <w:rsid w:val="004E2519"/>
    <w:rsid w:val="004E294C"/>
    <w:rsid w:val="004E7D88"/>
    <w:rsid w:val="004F37DF"/>
    <w:rsid w:val="004F795A"/>
    <w:rsid w:val="0050156F"/>
    <w:rsid w:val="0050345A"/>
    <w:rsid w:val="00504E07"/>
    <w:rsid w:val="00504F97"/>
    <w:rsid w:val="005053C2"/>
    <w:rsid w:val="0050695B"/>
    <w:rsid w:val="00507236"/>
    <w:rsid w:val="00524610"/>
    <w:rsid w:val="0052534F"/>
    <w:rsid w:val="00525F2C"/>
    <w:rsid w:val="00526C9A"/>
    <w:rsid w:val="005270F8"/>
    <w:rsid w:val="00527AEF"/>
    <w:rsid w:val="00531BF6"/>
    <w:rsid w:val="00533D81"/>
    <w:rsid w:val="0053570D"/>
    <w:rsid w:val="0053615C"/>
    <w:rsid w:val="00536387"/>
    <w:rsid w:val="00536773"/>
    <w:rsid w:val="00536EF8"/>
    <w:rsid w:val="0053743D"/>
    <w:rsid w:val="00540887"/>
    <w:rsid w:val="005416C8"/>
    <w:rsid w:val="005477F3"/>
    <w:rsid w:val="00556B25"/>
    <w:rsid w:val="00556D79"/>
    <w:rsid w:val="0056005A"/>
    <w:rsid w:val="00563F49"/>
    <w:rsid w:val="005657CD"/>
    <w:rsid w:val="00567961"/>
    <w:rsid w:val="005711E6"/>
    <w:rsid w:val="00573F68"/>
    <w:rsid w:val="00576DCA"/>
    <w:rsid w:val="00583276"/>
    <w:rsid w:val="0058698B"/>
    <w:rsid w:val="0059089F"/>
    <w:rsid w:val="005916FE"/>
    <w:rsid w:val="00591B05"/>
    <w:rsid w:val="00594D9C"/>
    <w:rsid w:val="0059558E"/>
    <w:rsid w:val="005965A6"/>
    <w:rsid w:val="005972A0"/>
    <w:rsid w:val="005A3005"/>
    <w:rsid w:val="005A5CE0"/>
    <w:rsid w:val="005A60DA"/>
    <w:rsid w:val="005B6D34"/>
    <w:rsid w:val="005C5342"/>
    <w:rsid w:val="005D154C"/>
    <w:rsid w:val="005D2A49"/>
    <w:rsid w:val="005D621D"/>
    <w:rsid w:val="005E07ED"/>
    <w:rsid w:val="005E26FB"/>
    <w:rsid w:val="005E27AC"/>
    <w:rsid w:val="005E349B"/>
    <w:rsid w:val="005E5473"/>
    <w:rsid w:val="005E57EC"/>
    <w:rsid w:val="005E6D4E"/>
    <w:rsid w:val="005F0041"/>
    <w:rsid w:val="005F27BB"/>
    <w:rsid w:val="005F3A31"/>
    <w:rsid w:val="005F5C50"/>
    <w:rsid w:val="00602ABF"/>
    <w:rsid w:val="0060575D"/>
    <w:rsid w:val="00605840"/>
    <w:rsid w:val="00607488"/>
    <w:rsid w:val="00610314"/>
    <w:rsid w:val="0061038B"/>
    <w:rsid w:val="00613A96"/>
    <w:rsid w:val="0061528B"/>
    <w:rsid w:val="00623482"/>
    <w:rsid w:val="00625533"/>
    <w:rsid w:val="00627148"/>
    <w:rsid w:val="00644E96"/>
    <w:rsid w:val="006451CD"/>
    <w:rsid w:val="00647A37"/>
    <w:rsid w:val="00652332"/>
    <w:rsid w:val="00654BD7"/>
    <w:rsid w:val="0065611E"/>
    <w:rsid w:val="00656573"/>
    <w:rsid w:val="006600C4"/>
    <w:rsid w:val="006645F7"/>
    <w:rsid w:val="0067173C"/>
    <w:rsid w:val="00673616"/>
    <w:rsid w:val="006746F8"/>
    <w:rsid w:val="00676042"/>
    <w:rsid w:val="0067658B"/>
    <w:rsid w:val="00676CAC"/>
    <w:rsid w:val="00680947"/>
    <w:rsid w:val="00684F32"/>
    <w:rsid w:val="00685193"/>
    <w:rsid w:val="00691645"/>
    <w:rsid w:val="00693B85"/>
    <w:rsid w:val="00694173"/>
    <w:rsid w:val="006943EF"/>
    <w:rsid w:val="00695368"/>
    <w:rsid w:val="006A0F12"/>
    <w:rsid w:val="006A3E56"/>
    <w:rsid w:val="006A7567"/>
    <w:rsid w:val="006B23AF"/>
    <w:rsid w:val="006B53F5"/>
    <w:rsid w:val="006B6162"/>
    <w:rsid w:val="006B7709"/>
    <w:rsid w:val="006C14BD"/>
    <w:rsid w:val="006C78CF"/>
    <w:rsid w:val="006C7FEB"/>
    <w:rsid w:val="006D0114"/>
    <w:rsid w:val="006D1DDE"/>
    <w:rsid w:val="006D23CB"/>
    <w:rsid w:val="006D2DF4"/>
    <w:rsid w:val="006D39CF"/>
    <w:rsid w:val="006D4477"/>
    <w:rsid w:val="006E1D60"/>
    <w:rsid w:val="006E43F6"/>
    <w:rsid w:val="006E7F93"/>
    <w:rsid w:val="006F1474"/>
    <w:rsid w:val="006F41EF"/>
    <w:rsid w:val="006F54D5"/>
    <w:rsid w:val="007035DC"/>
    <w:rsid w:val="00705203"/>
    <w:rsid w:val="00706196"/>
    <w:rsid w:val="00707C30"/>
    <w:rsid w:val="00716D95"/>
    <w:rsid w:val="00723232"/>
    <w:rsid w:val="00724B46"/>
    <w:rsid w:val="007324C6"/>
    <w:rsid w:val="0074308E"/>
    <w:rsid w:val="00750328"/>
    <w:rsid w:val="007513D5"/>
    <w:rsid w:val="00754ABA"/>
    <w:rsid w:val="00755812"/>
    <w:rsid w:val="00757D46"/>
    <w:rsid w:val="00757D53"/>
    <w:rsid w:val="0076011B"/>
    <w:rsid w:val="00760F76"/>
    <w:rsid w:val="00761845"/>
    <w:rsid w:val="007651FB"/>
    <w:rsid w:val="00767AC1"/>
    <w:rsid w:val="00771CC6"/>
    <w:rsid w:val="00774415"/>
    <w:rsid w:val="00774B60"/>
    <w:rsid w:val="0077654E"/>
    <w:rsid w:val="007801B3"/>
    <w:rsid w:val="00781D7C"/>
    <w:rsid w:val="007823EA"/>
    <w:rsid w:val="0078304C"/>
    <w:rsid w:val="00784E92"/>
    <w:rsid w:val="00786D85"/>
    <w:rsid w:val="00787D9F"/>
    <w:rsid w:val="00791C29"/>
    <w:rsid w:val="0079628A"/>
    <w:rsid w:val="00796AE9"/>
    <w:rsid w:val="007974F0"/>
    <w:rsid w:val="007A53B5"/>
    <w:rsid w:val="007A67BB"/>
    <w:rsid w:val="007B024C"/>
    <w:rsid w:val="007B17FA"/>
    <w:rsid w:val="007B2B79"/>
    <w:rsid w:val="007B70E6"/>
    <w:rsid w:val="007C1658"/>
    <w:rsid w:val="007C491C"/>
    <w:rsid w:val="007C6C20"/>
    <w:rsid w:val="007C7405"/>
    <w:rsid w:val="007D1C6D"/>
    <w:rsid w:val="007D2F33"/>
    <w:rsid w:val="007D3C57"/>
    <w:rsid w:val="007D79DD"/>
    <w:rsid w:val="007E2430"/>
    <w:rsid w:val="007E357E"/>
    <w:rsid w:val="007F011E"/>
    <w:rsid w:val="007F0221"/>
    <w:rsid w:val="007F06E9"/>
    <w:rsid w:val="007F2A56"/>
    <w:rsid w:val="00801208"/>
    <w:rsid w:val="0080616F"/>
    <w:rsid w:val="008101B1"/>
    <w:rsid w:val="00812148"/>
    <w:rsid w:val="00812687"/>
    <w:rsid w:val="0081357B"/>
    <w:rsid w:val="00813B5D"/>
    <w:rsid w:val="008173CF"/>
    <w:rsid w:val="00831034"/>
    <w:rsid w:val="0083111B"/>
    <w:rsid w:val="008315B4"/>
    <w:rsid w:val="008318B2"/>
    <w:rsid w:val="00833C5A"/>
    <w:rsid w:val="00834351"/>
    <w:rsid w:val="008364DF"/>
    <w:rsid w:val="00843FE4"/>
    <w:rsid w:val="0084611B"/>
    <w:rsid w:val="00846F6B"/>
    <w:rsid w:val="00850BBA"/>
    <w:rsid w:val="00851022"/>
    <w:rsid w:val="00851429"/>
    <w:rsid w:val="0085424C"/>
    <w:rsid w:val="00854347"/>
    <w:rsid w:val="0085509F"/>
    <w:rsid w:val="00855A74"/>
    <w:rsid w:val="00856136"/>
    <w:rsid w:val="008573C4"/>
    <w:rsid w:val="00860E24"/>
    <w:rsid w:val="0086461E"/>
    <w:rsid w:val="00865CDA"/>
    <w:rsid w:val="00871A6B"/>
    <w:rsid w:val="00871E2E"/>
    <w:rsid w:val="00872E25"/>
    <w:rsid w:val="00873547"/>
    <w:rsid w:val="008742DF"/>
    <w:rsid w:val="00876C13"/>
    <w:rsid w:val="00880295"/>
    <w:rsid w:val="00880D74"/>
    <w:rsid w:val="008822C0"/>
    <w:rsid w:val="008828B3"/>
    <w:rsid w:val="00885DE4"/>
    <w:rsid w:val="00887129"/>
    <w:rsid w:val="008929B1"/>
    <w:rsid w:val="00896484"/>
    <w:rsid w:val="008A7773"/>
    <w:rsid w:val="008A7C4F"/>
    <w:rsid w:val="008A7CA9"/>
    <w:rsid w:val="008C0EA6"/>
    <w:rsid w:val="008C4A53"/>
    <w:rsid w:val="008C4CBD"/>
    <w:rsid w:val="008D339C"/>
    <w:rsid w:val="008D6727"/>
    <w:rsid w:val="008E02D2"/>
    <w:rsid w:val="008E05BB"/>
    <w:rsid w:val="008E0895"/>
    <w:rsid w:val="008E093E"/>
    <w:rsid w:val="008E4BA0"/>
    <w:rsid w:val="008E4EA8"/>
    <w:rsid w:val="008E7274"/>
    <w:rsid w:val="008E7E58"/>
    <w:rsid w:val="008F0ACB"/>
    <w:rsid w:val="008F42DD"/>
    <w:rsid w:val="008F4F03"/>
    <w:rsid w:val="008F78FA"/>
    <w:rsid w:val="00904072"/>
    <w:rsid w:val="00904D83"/>
    <w:rsid w:val="00910946"/>
    <w:rsid w:val="00913341"/>
    <w:rsid w:val="00920469"/>
    <w:rsid w:val="00925736"/>
    <w:rsid w:val="009402E2"/>
    <w:rsid w:val="00943134"/>
    <w:rsid w:val="009434EB"/>
    <w:rsid w:val="00943777"/>
    <w:rsid w:val="00944BC8"/>
    <w:rsid w:val="00952B56"/>
    <w:rsid w:val="00953FB6"/>
    <w:rsid w:val="00953FE2"/>
    <w:rsid w:val="00954C9E"/>
    <w:rsid w:val="00955BC5"/>
    <w:rsid w:val="00963A31"/>
    <w:rsid w:val="009734B7"/>
    <w:rsid w:val="009738FA"/>
    <w:rsid w:val="00982A93"/>
    <w:rsid w:val="00983AEC"/>
    <w:rsid w:val="00984AB7"/>
    <w:rsid w:val="009856C6"/>
    <w:rsid w:val="009922E4"/>
    <w:rsid w:val="009940AF"/>
    <w:rsid w:val="00997C17"/>
    <w:rsid w:val="009A0B2D"/>
    <w:rsid w:val="009A2A8F"/>
    <w:rsid w:val="009B7645"/>
    <w:rsid w:val="009B7DC9"/>
    <w:rsid w:val="009C0334"/>
    <w:rsid w:val="009C11F3"/>
    <w:rsid w:val="009C1950"/>
    <w:rsid w:val="009C55A6"/>
    <w:rsid w:val="009C65B0"/>
    <w:rsid w:val="009C7345"/>
    <w:rsid w:val="009D0F28"/>
    <w:rsid w:val="009D7764"/>
    <w:rsid w:val="009E4E24"/>
    <w:rsid w:val="009E71DD"/>
    <w:rsid w:val="009E7C2E"/>
    <w:rsid w:val="009F0E4D"/>
    <w:rsid w:val="009F195E"/>
    <w:rsid w:val="009F32B5"/>
    <w:rsid w:val="009F4B33"/>
    <w:rsid w:val="009F5AE9"/>
    <w:rsid w:val="00A10D54"/>
    <w:rsid w:val="00A12123"/>
    <w:rsid w:val="00A146DF"/>
    <w:rsid w:val="00A23031"/>
    <w:rsid w:val="00A2309F"/>
    <w:rsid w:val="00A230CF"/>
    <w:rsid w:val="00A2701D"/>
    <w:rsid w:val="00A276BA"/>
    <w:rsid w:val="00A30126"/>
    <w:rsid w:val="00A352FA"/>
    <w:rsid w:val="00A36B14"/>
    <w:rsid w:val="00A40CCA"/>
    <w:rsid w:val="00A42436"/>
    <w:rsid w:val="00A51CC7"/>
    <w:rsid w:val="00A53520"/>
    <w:rsid w:val="00A553EE"/>
    <w:rsid w:val="00A554C3"/>
    <w:rsid w:val="00A55C7C"/>
    <w:rsid w:val="00A562C7"/>
    <w:rsid w:val="00A657AE"/>
    <w:rsid w:val="00A7053C"/>
    <w:rsid w:val="00A709CF"/>
    <w:rsid w:val="00A71424"/>
    <w:rsid w:val="00A722B6"/>
    <w:rsid w:val="00A751E2"/>
    <w:rsid w:val="00A8037A"/>
    <w:rsid w:val="00A81612"/>
    <w:rsid w:val="00A8245A"/>
    <w:rsid w:val="00A8250E"/>
    <w:rsid w:val="00A83972"/>
    <w:rsid w:val="00A866D4"/>
    <w:rsid w:val="00A877C1"/>
    <w:rsid w:val="00A90839"/>
    <w:rsid w:val="00A97A88"/>
    <w:rsid w:val="00AA00D4"/>
    <w:rsid w:val="00AA0A2E"/>
    <w:rsid w:val="00AA60CD"/>
    <w:rsid w:val="00AA676B"/>
    <w:rsid w:val="00AA7D6C"/>
    <w:rsid w:val="00AB1144"/>
    <w:rsid w:val="00AC00A4"/>
    <w:rsid w:val="00AC3E59"/>
    <w:rsid w:val="00AC4707"/>
    <w:rsid w:val="00AC640F"/>
    <w:rsid w:val="00AC743A"/>
    <w:rsid w:val="00AC78AA"/>
    <w:rsid w:val="00AD34C3"/>
    <w:rsid w:val="00AD400D"/>
    <w:rsid w:val="00AD7CD8"/>
    <w:rsid w:val="00AE125B"/>
    <w:rsid w:val="00AE48C5"/>
    <w:rsid w:val="00AE64F2"/>
    <w:rsid w:val="00AF226A"/>
    <w:rsid w:val="00AF31A5"/>
    <w:rsid w:val="00AF78AE"/>
    <w:rsid w:val="00B01924"/>
    <w:rsid w:val="00B04A0B"/>
    <w:rsid w:val="00B07A2E"/>
    <w:rsid w:val="00B1630E"/>
    <w:rsid w:val="00B16D96"/>
    <w:rsid w:val="00B1726F"/>
    <w:rsid w:val="00B1743C"/>
    <w:rsid w:val="00B1750A"/>
    <w:rsid w:val="00B20268"/>
    <w:rsid w:val="00B26533"/>
    <w:rsid w:val="00B30908"/>
    <w:rsid w:val="00B3466E"/>
    <w:rsid w:val="00B37761"/>
    <w:rsid w:val="00B404CA"/>
    <w:rsid w:val="00B4142C"/>
    <w:rsid w:val="00B42CAF"/>
    <w:rsid w:val="00B43D73"/>
    <w:rsid w:val="00B43D9D"/>
    <w:rsid w:val="00B51EF7"/>
    <w:rsid w:val="00B63166"/>
    <w:rsid w:val="00B6434D"/>
    <w:rsid w:val="00B80838"/>
    <w:rsid w:val="00B836BD"/>
    <w:rsid w:val="00B84C37"/>
    <w:rsid w:val="00B870AA"/>
    <w:rsid w:val="00B8789E"/>
    <w:rsid w:val="00B87F31"/>
    <w:rsid w:val="00B96177"/>
    <w:rsid w:val="00BA1DCE"/>
    <w:rsid w:val="00BA3A8B"/>
    <w:rsid w:val="00BA565E"/>
    <w:rsid w:val="00BA7A0B"/>
    <w:rsid w:val="00BB0EC6"/>
    <w:rsid w:val="00BB3CF2"/>
    <w:rsid w:val="00BB41C7"/>
    <w:rsid w:val="00BB4706"/>
    <w:rsid w:val="00BB5AB2"/>
    <w:rsid w:val="00BB76D2"/>
    <w:rsid w:val="00BB7D02"/>
    <w:rsid w:val="00BC094C"/>
    <w:rsid w:val="00BC24FB"/>
    <w:rsid w:val="00BC3FDE"/>
    <w:rsid w:val="00BC563C"/>
    <w:rsid w:val="00BC65ED"/>
    <w:rsid w:val="00BD0874"/>
    <w:rsid w:val="00BD14FA"/>
    <w:rsid w:val="00BD2210"/>
    <w:rsid w:val="00BD394C"/>
    <w:rsid w:val="00BD41C3"/>
    <w:rsid w:val="00BD68F5"/>
    <w:rsid w:val="00BD6EA9"/>
    <w:rsid w:val="00BE03D4"/>
    <w:rsid w:val="00BE0A36"/>
    <w:rsid w:val="00BE28B8"/>
    <w:rsid w:val="00BE2A4C"/>
    <w:rsid w:val="00BE3AAA"/>
    <w:rsid w:val="00BE56B6"/>
    <w:rsid w:val="00BE5773"/>
    <w:rsid w:val="00BE7ABE"/>
    <w:rsid w:val="00BE7AD1"/>
    <w:rsid w:val="00BF216B"/>
    <w:rsid w:val="00BF2534"/>
    <w:rsid w:val="00BF54C2"/>
    <w:rsid w:val="00C01401"/>
    <w:rsid w:val="00C040A2"/>
    <w:rsid w:val="00C0550C"/>
    <w:rsid w:val="00C05553"/>
    <w:rsid w:val="00C07238"/>
    <w:rsid w:val="00C1363E"/>
    <w:rsid w:val="00C17310"/>
    <w:rsid w:val="00C17620"/>
    <w:rsid w:val="00C20DB7"/>
    <w:rsid w:val="00C21E74"/>
    <w:rsid w:val="00C31919"/>
    <w:rsid w:val="00C37ACE"/>
    <w:rsid w:val="00C41A62"/>
    <w:rsid w:val="00C43794"/>
    <w:rsid w:val="00C46469"/>
    <w:rsid w:val="00C46829"/>
    <w:rsid w:val="00C52001"/>
    <w:rsid w:val="00C52281"/>
    <w:rsid w:val="00C53272"/>
    <w:rsid w:val="00C609B7"/>
    <w:rsid w:val="00C61059"/>
    <w:rsid w:val="00C62A3D"/>
    <w:rsid w:val="00C637C8"/>
    <w:rsid w:val="00C75E73"/>
    <w:rsid w:val="00C80116"/>
    <w:rsid w:val="00C85428"/>
    <w:rsid w:val="00C8730B"/>
    <w:rsid w:val="00C90DBA"/>
    <w:rsid w:val="00C93F4B"/>
    <w:rsid w:val="00C94D26"/>
    <w:rsid w:val="00C95158"/>
    <w:rsid w:val="00C961A0"/>
    <w:rsid w:val="00CA2B8D"/>
    <w:rsid w:val="00CA4C6E"/>
    <w:rsid w:val="00CB0CA0"/>
    <w:rsid w:val="00CB1EFF"/>
    <w:rsid w:val="00CB4F03"/>
    <w:rsid w:val="00CB641B"/>
    <w:rsid w:val="00CB74D0"/>
    <w:rsid w:val="00CC0AA4"/>
    <w:rsid w:val="00CC74F6"/>
    <w:rsid w:val="00CC74FD"/>
    <w:rsid w:val="00CC765F"/>
    <w:rsid w:val="00CC7C71"/>
    <w:rsid w:val="00CC7E50"/>
    <w:rsid w:val="00CD013C"/>
    <w:rsid w:val="00CD2F75"/>
    <w:rsid w:val="00CD5E29"/>
    <w:rsid w:val="00CE4109"/>
    <w:rsid w:val="00CE4543"/>
    <w:rsid w:val="00CE577F"/>
    <w:rsid w:val="00CF0840"/>
    <w:rsid w:val="00CF3A24"/>
    <w:rsid w:val="00CF3E31"/>
    <w:rsid w:val="00CF422B"/>
    <w:rsid w:val="00CF7F71"/>
    <w:rsid w:val="00D0038C"/>
    <w:rsid w:val="00D0430F"/>
    <w:rsid w:val="00D1343F"/>
    <w:rsid w:val="00D13C9E"/>
    <w:rsid w:val="00D14AE2"/>
    <w:rsid w:val="00D1501D"/>
    <w:rsid w:val="00D15F70"/>
    <w:rsid w:val="00D16D6F"/>
    <w:rsid w:val="00D2045E"/>
    <w:rsid w:val="00D23C29"/>
    <w:rsid w:val="00D273A6"/>
    <w:rsid w:val="00D27750"/>
    <w:rsid w:val="00D31366"/>
    <w:rsid w:val="00D33D8C"/>
    <w:rsid w:val="00D34862"/>
    <w:rsid w:val="00D362AF"/>
    <w:rsid w:val="00D4036D"/>
    <w:rsid w:val="00D436EE"/>
    <w:rsid w:val="00D4525E"/>
    <w:rsid w:val="00D45CAC"/>
    <w:rsid w:val="00D46183"/>
    <w:rsid w:val="00D46C8E"/>
    <w:rsid w:val="00D47493"/>
    <w:rsid w:val="00D514E0"/>
    <w:rsid w:val="00D532AC"/>
    <w:rsid w:val="00D54B21"/>
    <w:rsid w:val="00D63441"/>
    <w:rsid w:val="00D63B13"/>
    <w:rsid w:val="00D65B08"/>
    <w:rsid w:val="00D72367"/>
    <w:rsid w:val="00D72F22"/>
    <w:rsid w:val="00D7463F"/>
    <w:rsid w:val="00D76025"/>
    <w:rsid w:val="00D760C3"/>
    <w:rsid w:val="00D7711F"/>
    <w:rsid w:val="00D85140"/>
    <w:rsid w:val="00D85D01"/>
    <w:rsid w:val="00D870DB"/>
    <w:rsid w:val="00D911F1"/>
    <w:rsid w:val="00D917F6"/>
    <w:rsid w:val="00D933A0"/>
    <w:rsid w:val="00D960D2"/>
    <w:rsid w:val="00D96DA5"/>
    <w:rsid w:val="00D978BE"/>
    <w:rsid w:val="00DA15A4"/>
    <w:rsid w:val="00DA1C3F"/>
    <w:rsid w:val="00DA2FA3"/>
    <w:rsid w:val="00DA62BD"/>
    <w:rsid w:val="00DA670D"/>
    <w:rsid w:val="00DB088A"/>
    <w:rsid w:val="00DB0C6C"/>
    <w:rsid w:val="00DB1246"/>
    <w:rsid w:val="00DB496A"/>
    <w:rsid w:val="00DC2907"/>
    <w:rsid w:val="00DC390E"/>
    <w:rsid w:val="00DC3EFF"/>
    <w:rsid w:val="00DC656F"/>
    <w:rsid w:val="00DD0A56"/>
    <w:rsid w:val="00DD0DA6"/>
    <w:rsid w:val="00DD0EE7"/>
    <w:rsid w:val="00DD27CD"/>
    <w:rsid w:val="00DE167B"/>
    <w:rsid w:val="00DE2682"/>
    <w:rsid w:val="00DE3606"/>
    <w:rsid w:val="00DE5637"/>
    <w:rsid w:val="00DF0888"/>
    <w:rsid w:val="00DF4626"/>
    <w:rsid w:val="00E11EE0"/>
    <w:rsid w:val="00E1316B"/>
    <w:rsid w:val="00E1341E"/>
    <w:rsid w:val="00E135AC"/>
    <w:rsid w:val="00E1500E"/>
    <w:rsid w:val="00E1524C"/>
    <w:rsid w:val="00E16A44"/>
    <w:rsid w:val="00E26885"/>
    <w:rsid w:val="00E27887"/>
    <w:rsid w:val="00E30E8F"/>
    <w:rsid w:val="00E330AB"/>
    <w:rsid w:val="00E4026B"/>
    <w:rsid w:val="00E427A2"/>
    <w:rsid w:val="00E51BAE"/>
    <w:rsid w:val="00E528D4"/>
    <w:rsid w:val="00E562D5"/>
    <w:rsid w:val="00E6016D"/>
    <w:rsid w:val="00E645EE"/>
    <w:rsid w:val="00E728CB"/>
    <w:rsid w:val="00E77C48"/>
    <w:rsid w:val="00E911C3"/>
    <w:rsid w:val="00E92056"/>
    <w:rsid w:val="00E926F9"/>
    <w:rsid w:val="00E954C6"/>
    <w:rsid w:val="00EA0FE0"/>
    <w:rsid w:val="00EA31DE"/>
    <w:rsid w:val="00EA35CF"/>
    <w:rsid w:val="00EA4B18"/>
    <w:rsid w:val="00EB1AD6"/>
    <w:rsid w:val="00EB5947"/>
    <w:rsid w:val="00EB740A"/>
    <w:rsid w:val="00EC15EE"/>
    <w:rsid w:val="00EC3FE4"/>
    <w:rsid w:val="00EC50B4"/>
    <w:rsid w:val="00EC5CE1"/>
    <w:rsid w:val="00EC7CDE"/>
    <w:rsid w:val="00ED03F6"/>
    <w:rsid w:val="00ED4176"/>
    <w:rsid w:val="00ED588C"/>
    <w:rsid w:val="00ED5D44"/>
    <w:rsid w:val="00ED6193"/>
    <w:rsid w:val="00ED76A7"/>
    <w:rsid w:val="00EE3D6A"/>
    <w:rsid w:val="00EE5A3B"/>
    <w:rsid w:val="00EF0B51"/>
    <w:rsid w:val="00EF629E"/>
    <w:rsid w:val="00EF725A"/>
    <w:rsid w:val="00F0101B"/>
    <w:rsid w:val="00F018E6"/>
    <w:rsid w:val="00F03602"/>
    <w:rsid w:val="00F06729"/>
    <w:rsid w:val="00F07065"/>
    <w:rsid w:val="00F07358"/>
    <w:rsid w:val="00F10013"/>
    <w:rsid w:val="00F113BF"/>
    <w:rsid w:val="00F12EF4"/>
    <w:rsid w:val="00F145EA"/>
    <w:rsid w:val="00F15805"/>
    <w:rsid w:val="00F1632A"/>
    <w:rsid w:val="00F16C13"/>
    <w:rsid w:val="00F229B4"/>
    <w:rsid w:val="00F2392F"/>
    <w:rsid w:val="00F23EC1"/>
    <w:rsid w:val="00F24F72"/>
    <w:rsid w:val="00F2556F"/>
    <w:rsid w:val="00F2577E"/>
    <w:rsid w:val="00F25F11"/>
    <w:rsid w:val="00F266FA"/>
    <w:rsid w:val="00F267C1"/>
    <w:rsid w:val="00F26D08"/>
    <w:rsid w:val="00F32C8C"/>
    <w:rsid w:val="00F33442"/>
    <w:rsid w:val="00F35A8D"/>
    <w:rsid w:val="00F3603B"/>
    <w:rsid w:val="00F4096E"/>
    <w:rsid w:val="00F440A5"/>
    <w:rsid w:val="00F45942"/>
    <w:rsid w:val="00F462E0"/>
    <w:rsid w:val="00F466AA"/>
    <w:rsid w:val="00F50ACC"/>
    <w:rsid w:val="00F60035"/>
    <w:rsid w:val="00F62380"/>
    <w:rsid w:val="00F6352E"/>
    <w:rsid w:val="00F6465F"/>
    <w:rsid w:val="00F66FCC"/>
    <w:rsid w:val="00F677B4"/>
    <w:rsid w:val="00F713B6"/>
    <w:rsid w:val="00F74A0C"/>
    <w:rsid w:val="00F83815"/>
    <w:rsid w:val="00F84C04"/>
    <w:rsid w:val="00F91569"/>
    <w:rsid w:val="00F9310A"/>
    <w:rsid w:val="00F940BF"/>
    <w:rsid w:val="00F97527"/>
    <w:rsid w:val="00F97962"/>
    <w:rsid w:val="00FA2D35"/>
    <w:rsid w:val="00FA4D37"/>
    <w:rsid w:val="00FA59E7"/>
    <w:rsid w:val="00FB3E26"/>
    <w:rsid w:val="00FB5AA6"/>
    <w:rsid w:val="00FB7665"/>
    <w:rsid w:val="00FB7FDF"/>
    <w:rsid w:val="00FC1C31"/>
    <w:rsid w:val="00FC41D2"/>
    <w:rsid w:val="00FD5095"/>
    <w:rsid w:val="00FD5A67"/>
    <w:rsid w:val="00FE239C"/>
    <w:rsid w:val="00FE60D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CF9E"/>
  <w15:docId w15:val="{FFD6815F-0261-415C-9181-408A0FB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TableHead"/>
    <w:next w:val="Normal"/>
    <w:link w:val="Heading2Char"/>
    <w:qFormat/>
    <w:rsid w:val="00227C26"/>
    <w:pPr>
      <w:jc w:val="left"/>
      <w:outlineLvl w:val="1"/>
    </w:pPr>
    <w:rPr>
      <w:rFonts w:ascii="Times New Roman" w:hAnsi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27C26"/>
    <w:pPr>
      <w:spacing w:before="240"/>
      <w:outlineLvl w:val="2"/>
    </w:pPr>
    <w:rPr>
      <w:b/>
      <w:bCs/>
      <w:iCs/>
      <w:color w:val="000080"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7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27C26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7C26"/>
    <w:rPr>
      <w:rFonts w:ascii="Times New Roman" w:eastAsia="Times New Roman" w:hAnsi="Times New Roman" w:cs="Times New Roman"/>
      <w:b/>
      <w:bCs/>
      <w:iCs/>
      <w:color w:val="000080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qFormat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2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655A7"/>
    <w:pPr>
      <w:spacing w:after="0" w:line="240" w:lineRule="auto"/>
    </w:pPr>
  </w:style>
  <w:style w:type="paragraph" w:customStyle="1" w:styleId="TableText1">
    <w:name w:val="Table Text 1"/>
    <w:basedOn w:val="TableofFigures"/>
    <w:qFormat/>
    <w:rsid w:val="00D532AC"/>
    <w:pPr>
      <w:spacing w:before="40" w:after="40"/>
    </w:pPr>
    <w:rPr>
      <w:rFonts w:ascii="Arial" w:eastAsiaTheme="minorHAnsi" w:hAnsi="Arial" w:cstheme="minorBidi"/>
      <w:sz w:val="20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532AC"/>
  </w:style>
  <w:style w:type="paragraph" w:styleId="TOC3">
    <w:name w:val="toc 3"/>
    <w:basedOn w:val="Normal"/>
    <w:next w:val="Normal"/>
    <w:autoRedefine/>
    <w:uiPriority w:val="39"/>
    <w:unhideWhenUsed/>
    <w:rsid w:val="003177D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77D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177D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177D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177D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177D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177D2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547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9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8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0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1E34F-05FA-47A7-B66C-9FCF17E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N C</cp:lastModifiedBy>
  <cp:revision>3</cp:revision>
  <cp:lastPrinted>2012-11-07T20:40:00Z</cp:lastPrinted>
  <dcterms:created xsi:type="dcterms:W3CDTF">2020-06-22T02:13:00Z</dcterms:created>
  <dcterms:modified xsi:type="dcterms:W3CDTF">2020-06-22T02:13:00Z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